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AE1E75">
      <w:pPr>
        <w:jc w:val="center"/>
        <w:rPr>
          <w:sz w:val="52"/>
          <w:szCs w:val="52"/>
        </w:rPr>
      </w:pPr>
      <w:bookmarkStart w:id="0" w:name="_Toc457910368"/>
      <w:bookmarkStart w:id="1" w:name="_Toc113314385"/>
      <w:bookmarkStart w:id="2" w:name="_Toc185058569"/>
      <w:bookmarkStart w:id="3" w:name="_Toc225591603"/>
      <w:bookmarkStart w:id="4" w:name="_Toc241660756"/>
      <w:bookmarkStart w:id="5" w:name="_Toc235082326"/>
    </w:p>
    <w:p w14:paraId="49D3141E">
      <w:pPr>
        <w:jc w:val="center"/>
        <w:rPr>
          <w:sz w:val="52"/>
          <w:szCs w:val="52"/>
        </w:rPr>
      </w:pPr>
    </w:p>
    <w:p w14:paraId="41B7A3C8"/>
    <w:p w14:paraId="0D5C60BF">
      <w:pPr>
        <w:spacing w:before="240" w:after="240"/>
        <w:ind w:left="-141" w:leftChars="-67" w:right="-197" w:rightChars="-94"/>
        <w:jc w:val="center"/>
        <w:rPr>
          <w:rFonts w:hint="eastAsia" w:eastAsia="楷体_GB2312"/>
          <w:b/>
          <w:spacing w:val="-20"/>
          <w:sz w:val="48"/>
          <w:szCs w:val="48"/>
        </w:rPr>
      </w:pPr>
      <w:r>
        <w:rPr>
          <w:rFonts w:hint="eastAsia" w:eastAsia="楷体_GB2312"/>
          <w:b/>
          <w:spacing w:val="-20"/>
          <w:sz w:val="48"/>
          <w:szCs w:val="48"/>
        </w:rPr>
        <w:t>启东经济开发区新质产业集中区</w:t>
      </w:r>
    </w:p>
    <w:p w14:paraId="5303665A">
      <w:pPr>
        <w:spacing w:before="240" w:after="240"/>
        <w:ind w:left="-141" w:leftChars="-67" w:right="-197" w:rightChars="-94"/>
        <w:jc w:val="center"/>
        <w:rPr>
          <w:rFonts w:eastAsia="楷体_GB2312"/>
          <w:b/>
          <w:spacing w:val="-20"/>
          <w:sz w:val="48"/>
          <w:szCs w:val="48"/>
        </w:rPr>
      </w:pPr>
      <w:r>
        <w:rPr>
          <w:rFonts w:hint="eastAsia" w:eastAsia="楷体_GB2312"/>
          <w:b/>
          <w:spacing w:val="-20"/>
          <w:sz w:val="48"/>
          <w:szCs w:val="48"/>
        </w:rPr>
        <w:t>开发建设规划</w:t>
      </w:r>
      <w:r>
        <w:rPr>
          <w:rFonts w:eastAsia="楷体_GB2312"/>
          <w:b/>
          <w:spacing w:val="-20"/>
          <w:sz w:val="48"/>
          <w:szCs w:val="48"/>
        </w:rPr>
        <w:t>环境影响报告书</w:t>
      </w:r>
      <w:bookmarkEnd w:id="0"/>
    </w:p>
    <w:p w14:paraId="447A64AF">
      <w:pPr>
        <w:spacing w:before="240" w:after="240"/>
        <w:ind w:left="-141" w:leftChars="-67" w:right="-197" w:rightChars="-94"/>
        <w:jc w:val="center"/>
        <w:rPr>
          <w:rFonts w:eastAsia="楷体_GB2312"/>
          <w:b/>
          <w:spacing w:val="-20"/>
          <w:sz w:val="48"/>
          <w:szCs w:val="48"/>
        </w:rPr>
      </w:pPr>
      <w:r>
        <w:rPr>
          <w:rFonts w:eastAsia="楷体_GB2312"/>
          <w:b/>
          <w:spacing w:val="-20"/>
          <w:sz w:val="48"/>
          <w:szCs w:val="48"/>
        </w:rPr>
        <w:t>（征求意见稿）</w:t>
      </w:r>
    </w:p>
    <w:p w14:paraId="26756D2F">
      <w:pPr>
        <w:jc w:val="center"/>
        <w:rPr>
          <w:sz w:val="52"/>
          <w:szCs w:val="52"/>
        </w:rPr>
      </w:pPr>
    </w:p>
    <w:p w14:paraId="01EA753A">
      <w:pPr>
        <w:jc w:val="center"/>
        <w:rPr>
          <w:sz w:val="52"/>
          <w:szCs w:val="52"/>
        </w:rPr>
      </w:pPr>
    </w:p>
    <w:p w14:paraId="1A9FDAAF">
      <w:pPr>
        <w:jc w:val="center"/>
        <w:rPr>
          <w:sz w:val="52"/>
          <w:szCs w:val="52"/>
        </w:rPr>
      </w:pPr>
    </w:p>
    <w:p w14:paraId="0195304A">
      <w:pPr>
        <w:jc w:val="center"/>
        <w:rPr>
          <w:sz w:val="52"/>
          <w:szCs w:val="52"/>
        </w:rPr>
      </w:pPr>
    </w:p>
    <w:p w14:paraId="6CC96FA4">
      <w:pPr>
        <w:jc w:val="center"/>
        <w:rPr>
          <w:sz w:val="52"/>
          <w:szCs w:val="52"/>
        </w:rPr>
      </w:pPr>
    </w:p>
    <w:p w14:paraId="536A40A7">
      <w:pPr>
        <w:jc w:val="center"/>
        <w:rPr>
          <w:sz w:val="52"/>
          <w:szCs w:val="52"/>
        </w:rPr>
      </w:pPr>
    </w:p>
    <w:p w14:paraId="7DAFF445">
      <w:pPr>
        <w:jc w:val="center"/>
        <w:rPr>
          <w:sz w:val="52"/>
          <w:szCs w:val="52"/>
        </w:rPr>
      </w:pPr>
    </w:p>
    <w:p w14:paraId="6E6FE4FE">
      <w:pPr>
        <w:jc w:val="center"/>
        <w:rPr>
          <w:sz w:val="52"/>
          <w:szCs w:val="52"/>
        </w:rPr>
      </w:pPr>
    </w:p>
    <w:p w14:paraId="2E3F223C">
      <w:pPr>
        <w:jc w:val="center"/>
        <w:rPr>
          <w:sz w:val="52"/>
          <w:szCs w:val="52"/>
        </w:rPr>
      </w:pPr>
    </w:p>
    <w:p w14:paraId="47111563">
      <w:pPr>
        <w:jc w:val="center"/>
        <w:rPr>
          <w:rFonts w:eastAsia="仿宋_GB2312"/>
          <w:b/>
          <w:sz w:val="28"/>
          <w:szCs w:val="22"/>
        </w:rPr>
      </w:pPr>
      <w:r>
        <w:rPr>
          <w:rFonts w:eastAsia="仿宋_GB2312"/>
          <w:b/>
          <w:sz w:val="28"/>
          <w:szCs w:val="22"/>
        </w:rPr>
        <w:t>规划实施单位：</w:t>
      </w:r>
      <w:r>
        <w:rPr>
          <w:rFonts w:hint="eastAsia" w:eastAsia="仿宋_GB2312"/>
          <w:b/>
          <w:sz w:val="28"/>
          <w:szCs w:val="22"/>
        </w:rPr>
        <w:t>江苏省启东经济开发区管理委员会</w:t>
      </w:r>
    </w:p>
    <w:p w14:paraId="756E5CA4">
      <w:pPr>
        <w:jc w:val="center"/>
        <w:rPr>
          <w:rFonts w:eastAsia="仿宋_GB2312"/>
          <w:b/>
          <w:sz w:val="28"/>
          <w:szCs w:val="22"/>
        </w:rPr>
      </w:pPr>
      <w:r>
        <w:rPr>
          <w:rFonts w:eastAsia="仿宋_GB2312"/>
          <w:b/>
          <w:sz w:val="28"/>
          <w:szCs w:val="22"/>
        </w:rPr>
        <w:t>编制单位：南京大学环境规划设计研究院集团股份公司</w:t>
      </w:r>
    </w:p>
    <w:p w14:paraId="25E4EC14">
      <w:pPr>
        <w:jc w:val="center"/>
        <w:rPr>
          <w:rFonts w:eastAsia="仿宋_GB2312"/>
          <w:b/>
          <w:color w:val="FF0000"/>
          <w:sz w:val="32"/>
        </w:rPr>
      </w:pPr>
      <w:r>
        <w:rPr>
          <w:rFonts w:eastAsia="仿宋_GB2312"/>
          <w:b/>
          <w:sz w:val="28"/>
          <w:szCs w:val="22"/>
        </w:rPr>
        <w:t>202</w:t>
      </w:r>
      <w:r>
        <w:rPr>
          <w:rFonts w:hint="eastAsia" w:eastAsia="仿宋_GB2312"/>
          <w:b/>
          <w:sz w:val="28"/>
          <w:szCs w:val="22"/>
          <w:lang w:val="en-US" w:eastAsia="zh-CN"/>
        </w:rPr>
        <w:t>5</w:t>
      </w:r>
      <w:r>
        <w:rPr>
          <w:rFonts w:eastAsia="仿宋_GB2312"/>
          <w:b/>
          <w:sz w:val="28"/>
          <w:szCs w:val="22"/>
        </w:rPr>
        <w:t>年</w:t>
      </w:r>
      <w:r>
        <w:rPr>
          <w:rFonts w:hint="eastAsia" w:eastAsia="仿宋_GB2312"/>
          <w:b/>
          <w:sz w:val="28"/>
          <w:szCs w:val="22"/>
          <w:lang w:val="en-US" w:eastAsia="zh-CN"/>
        </w:rPr>
        <w:t>11</w:t>
      </w:r>
      <w:r>
        <w:rPr>
          <w:rFonts w:eastAsia="仿宋_GB2312"/>
          <w:b/>
          <w:sz w:val="28"/>
          <w:szCs w:val="22"/>
        </w:rPr>
        <w:t>月</w:t>
      </w:r>
      <w:r>
        <w:rPr>
          <w:rFonts w:eastAsia="仿宋_GB2312"/>
          <w:b/>
          <w:color w:val="FF0000"/>
          <w:sz w:val="32"/>
        </w:rPr>
        <w:br w:type="page"/>
      </w:r>
    </w:p>
    <w:p w14:paraId="5A416F57">
      <w:pPr>
        <w:spacing w:line="360" w:lineRule="auto"/>
        <w:jc w:val="center"/>
        <w:rPr>
          <w:rFonts w:eastAsia="仿宋_GB2312"/>
          <w:b/>
          <w:sz w:val="32"/>
          <w:szCs w:val="32"/>
        </w:rPr>
      </w:pPr>
      <w:r>
        <w:rPr>
          <w:rFonts w:eastAsia="仿宋_GB2312"/>
          <w:b/>
          <w:sz w:val="32"/>
          <w:szCs w:val="32"/>
        </w:rPr>
        <w:t>目录</w:t>
      </w:r>
    </w:p>
    <w:p w14:paraId="26133851">
      <w:pPr>
        <w:pStyle w:val="14"/>
        <w:tabs>
          <w:tab w:val="right" w:leader="dot" w:pos="8306"/>
          <w:tab w:val="clear" w:pos="8296"/>
        </w:tabs>
        <w:rPr>
          <w:rFonts w:hint="default" w:ascii="Times New Roman" w:hAnsi="Times New Roman" w:eastAsia="仿宋_GB2312" w:cs="Times New Roman"/>
          <w:b/>
          <w:bCs w:val="0"/>
          <w:sz w:val="28"/>
          <w:szCs w:val="28"/>
        </w:rPr>
      </w:pPr>
      <w:r>
        <w:rPr>
          <w:color w:val="FF0000"/>
        </w:rPr>
        <w:fldChar w:fldCharType="begin"/>
      </w:r>
      <w:r>
        <w:rPr>
          <w:color w:val="FF0000"/>
        </w:rPr>
        <w:instrText xml:space="preserve"> TOC \o "1-2" \h \z \u </w:instrText>
      </w:r>
      <w:r>
        <w:rPr>
          <w:color w:val="FF0000"/>
        </w:rPr>
        <w:fldChar w:fldCharType="separate"/>
      </w:r>
      <w:r>
        <w:rPr>
          <w:rFonts w:hint="default" w:ascii="Times New Roman" w:hAnsi="Times New Roman" w:eastAsia="仿宋_GB2312" w:cs="Times New Roman"/>
          <w:b/>
          <w:bCs w:val="0"/>
          <w:color w:val="FF0000"/>
          <w:sz w:val="28"/>
          <w:szCs w:val="28"/>
        </w:rPr>
        <w:fldChar w:fldCharType="begin"/>
      </w:r>
      <w:r>
        <w:rPr>
          <w:rFonts w:hint="default" w:ascii="Times New Roman" w:hAnsi="Times New Roman" w:eastAsia="仿宋_GB2312" w:cs="Times New Roman"/>
          <w:b/>
          <w:bCs w:val="0"/>
          <w:sz w:val="28"/>
          <w:szCs w:val="28"/>
        </w:rPr>
        <w:instrText xml:space="preserve"> HYPERLINK \l _Toc691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1 任务由来及规划概述</w:t>
      </w:r>
      <w:r>
        <w:rPr>
          <w:rFonts w:hint="default" w:ascii="Times New Roman" w:hAnsi="Times New Roman" w:eastAsia="仿宋_GB2312" w:cs="Times New Roman"/>
          <w:b/>
          <w:bCs w:val="0"/>
          <w:sz w:val="28"/>
          <w:szCs w:val="28"/>
        </w:rPr>
        <w:tab/>
      </w:r>
      <w:r>
        <w:rPr>
          <w:rFonts w:hint="default" w:ascii="Times New Roman" w:hAnsi="Times New Roman" w:eastAsia="仿宋_GB2312" w:cs="Times New Roman"/>
          <w:b/>
          <w:bCs w:val="0"/>
          <w:sz w:val="28"/>
          <w:szCs w:val="28"/>
        </w:rPr>
        <w:fldChar w:fldCharType="begin"/>
      </w:r>
      <w:r>
        <w:rPr>
          <w:rFonts w:hint="default" w:ascii="Times New Roman" w:hAnsi="Times New Roman" w:eastAsia="仿宋_GB2312" w:cs="Times New Roman"/>
          <w:b/>
          <w:bCs w:val="0"/>
          <w:sz w:val="28"/>
          <w:szCs w:val="28"/>
        </w:rPr>
        <w:instrText xml:space="preserve"> PAGEREF _Toc691 \h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1</w:t>
      </w:r>
      <w:r>
        <w:rPr>
          <w:rFonts w:hint="default" w:ascii="Times New Roman" w:hAnsi="Times New Roman" w:eastAsia="仿宋_GB2312" w:cs="Times New Roman"/>
          <w:b/>
          <w:bCs w:val="0"/>
          <w:sz w:val="28"/>
          <w:szCs w:val="28"/>
        </w:rPr>
        <w:fldChar w:fldCharType="end"/>
      </w:r>
      <w:r>
        <w:rPr>
          <w:rFonts w:hint="default" w:ascii="Times New Roman" w:hAnsi="Times New Roman" w:eastAsia="仿宋_GB2312" w:cs="Times New Roman"/>
          <w:b/>
          <w:bCs w:val="0"/>
          <w:color w:val="FF0000"/>
          <w:sz w:val="28"/>
          <w:szCs w:val="28"/>
        </w:rPr>
        <w:fldChar w:fldCharType="end"/>
      </w:r>
    </w:p>
    <w:p w14:paraId="62F81920">
      <w:pPr>
        <w:pStyle w:val="15"/>
        <w:tabs>
          <w:tab w:val="right" w:leader="dot" w:pos="8306"/>
        </w:tabs>
        <w:rPr>
          <w:rFonts w:hint="default" w:ascii="Times New Roman" w:hAnsi="Times New Roman" w:eastAsia="仿宋_GB2312" w:cs="Times New Roman"/>
          <w:sz w:val="28"/>
          <w:szCs w:val="28"/>
        </w:rPr>
      </w:pPr>
      <w:r>
        <w:rPr>
          <w:rFonts w:hint="default" w:ascii="Times New Roman" w:hAnsi="Times New Roman" w:eastAsia="仿宋_GB2312" w:cs="Times New Roman"/>
          <w:bCs/>
          <w:color w:val="FF0000"/>
          <w:sz w:val="28"/>
          <w:szCs w:val="28"/>
        </w:rPr>
        <w:fldChar w:fldCharType="begin"/>
      </w:r>
      <w:r>
        <w:rPr>
          <w:rFonts w:hint="default" w:ascii="Times New Roman" w:hAnsi="Times New Roman" w:eastAsia="仿宋_GB2312" w:cs="Times New Roman"/>
          <w:bCs/>
          <w:sz w:val="28"/>
          <w:szCs w:val="28"/>
        </w:rPr>
        <w:instrText xml:space="preserve"> HYPERLINK \l _Toc1427 </w:instrText>
      </w:r>
      <w:r>
        <w:rPr>
          <w:rFonts w:hint="default" w:ascii="Times New Roman" w:hAnsi="Times New Roman" w:eastAsia="仿宋_GB2312" w:cs="Times New Roman"/>
          <w:bCs/>
          <w:sz w:val="28"/>
          <w:szCs w:val="28"/>
        </w:rPr>
        <w:fldChar w:fldCharType="separate"/>
      </w:r>
      <w:r>
        <w:rPr>
          <w:rFonts w:hint="default" w:ascii="Times New Roman" w:hAnsi="Times New Roman" w:eastAsia="仿宋_GB2312" w:cs="Times New Roman"/>
          <w:sz w:val="28"/>
          <w:szCs w:val="28"/>
        </w:rPr>
        <w:t>1.1 任务由来</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_Toc1427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color w:val="FF0000"/>
          <w:sz w:val="28"/>
          <w:szCs w:val="28"/>
        </w:rPr>
        <w:fldChar w:fldCharType="end"/>
      </w:r>
    </w:p>
    <w:p w14:paraId="20C94646">
      <w:pPr>
        <w:pStyle w:val="15"/>
        <w:tabs>
          <w:tab w:val="right" w:leader="dot" w:pos="8306"/>
        </w:tabs>
        <w:rPr>
          <w:rFonts w:hint="default" w:ascii="Times New Roman" w:hAnsi="Times New Roman" w:eastAsia="仿宋_GB2312" w:cs="Times New Roman"/>
          <w:sz w:val="28"/>
          <w:szCs w:val="28"/>
        </w:rPr>
      </w:pPr>
      <w:r>
        <w:rPr>
          <w:rFonts w:hint="default" w:ascii="Times New Roman" w:hAnsi="Times New Roman" w:eastAsia="仿宋_GB2312" w:cs="Times New Roman"/>
          <w:bCs/>
          <w:color w:val="FF0000"/>
          <w:sz w:val="28"/>
          <w:szCs w:val="28"/>
        </w:rPr>
        <w:fldChar w:fldCharType="begin"/>
      </w:r>
      <w:r>
        <w:rPr>
          <w:rFonts w:hint="default" w:ascii="Times New Roman" w:hAnsi="Times New Roman" w:eastAsia="仿宋_GB2312" w:cs="Times New Roman"/>
          <w:bCs/>
          <w:sz w:val="28"/>
          <w:szCs w:val="28"/>
        </w:rPr>
        <w:instrText xml:space="preserve"> HYPERLINK \l _Toc27406 </w:instrText>
      </w:r>
      <w:r>
        <w:rPr>
          <w:rFonts w:hint="default" w:ascii="Times New Roman" w:hAnsi="Times New Roman" w:eastAsia="仿宋_GB2312" w:cs="Times New Roman"/>
          <w:bCs/>
          <w:sz w:val="28"/>
          <w:szCs w:val="28"/>
        </w:rPr>
        <w:fldChar w:fldCharType="separate"/>
      </w:r>
      <w:r>
        <w:rPr>
          <w:rFonts w:hint="default" w:ascii="Times New Roman" w:hAnsi="Times New Roman" w:eastAsia="仿宋_GB2312" w:cs="Times New Roman"/>
          <w:sz w:val="28"/>
          <w:szCs w:val="28"/>
        </w:rPr>
        <w:t>1.2 规划范围和期限</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_Toc27406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color w:val="FF0000"/>
          <w:sz w:val="28"/>
          <w:szCs w:val="28"/>
        </w:rPr>
        <w:fldChar w:fldCharType="end"/>
      </w:r>
    </w:p>
    <w:p w14:paraId="16452F4B">
      <w:pPr>
        <w:pStyle w:val="15"/>
        <w:tabs>
          <w:tab w:val="right" w:leader="dot" w:pos="8306"/>
        </w:tabs>
        <w:rPr>
          <w:rFonts w:hint="default" w:ascii="Times New Roman" w:hAnsi="Times New Roman" w:eastAsia="仿宋_GB2312" w:cs="Times New Roman"/>
          <w:sz w:val="28"/>
          <w:szCs w:val="28"/>
        </w:rPr>
      </w:pPr>
      <w:r>
        <w:rPr>
          <w:rFonts w:hint="default" w:ascii="Times New Roman" w:hAnsi="Times New Roman" w:eastAsia="仿宋_GB2312" w:cs="Times New Roman"/>
          <w:bCs/>
          <w:color w:val="FF0000"/>
          <w:sz w:val="28"/>
          <w:szCs w:val="28"/>
        </w:rPr>
        <w:fldChar w:fldCharType="begin"/>
      </w:r>
      <w:r>
        <w:rPr>
          <w:rFonts w:hint="default" w:ascii="Times New Roman" w:hAnsi="Times New Roman" w:eastAsia="仿宋_GB2312" w:cs="Times New Roman"/>
          <w:bCs/>
          <w:sz w:val="28"/>
          <w:szCs w:val="28"/>
        </w:rPr>
        <w:instrText xml:space="preserve"> HYPERLINK \l _Toc17274 </w:instrText>
      </w:r>
      <w:r>
        <w:rPr>
          <w:rFonts w:hint="default" w:ascii="Times New Roman" w:hAnsi="Times New Roman" w:eastAsia="仿宋_GB2312" w:cs="Times New Roman"/>
          <w:bCs/>
          <w:sz w:val="28"/>
          <w:szCs w:val="28"/>
        </w:rPr>
        <w:fldChar w:fldCharType="separate"/>
      </w:r>
      <w:r>
        <w:rPr>
          <w:rFonts w:hint="default" w:ascii="Times New Roman" w:hAnsi="Times New Roman" w:eastAsia="仿宋_GB2312" w:cs="Times New Roman"/>
          <w:sz w:val="28"/>
          <w:szCs w:val="28"/>
        </w:rPr>
        <w:t>1.3 发展目标</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_Toc17274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color w:val="FF0000"/>
          <w:sz w:val="28"/>
          <w:szCs w:val="28"/>
        </w:rPr>
        <w:fldChar w:fldCharType="end"/>
      </w:r>
    </w:p>
    <w:p w14:paraId="74D9BEBA">
      <w:pPr>
        <w:pStyle w:val="15"/>
        <w:tabs>
          <w:tab w:val="right" w:leader="dot" w:pos="8306"/>
        </w:tabs>
        <w:rPr>
          <w:rFonts w:hint="default" w:ascii="Times New Roman" w:hAnsi="Times New Roman" w:eastAsia="仿宋_GB2312" w:cs="Times New Roman"/>
          <w:sz w:val="28"/>
          <w:szCs w:val="28"/>
        </w:rPr>
      </w:pPr>
      <w:r>
        <w:rPr>
          <w:rFonts w:hint="default" w:ascii="Times New Roman" w:hAnsi="Times New Roman" w:eastAsia="仿宋_GB2312" w:cs="Times New Roman"/>
          <w:bCs/>
          <w:color w:val="FF0000"/>
          <w:sz w:val="28"/>
          <w:szCs w:val="28"/>
        </w:rPr>
        <w:fldChar w:fldCharType="begin"/>
      </w:r>
      <w:r>
        <w:rPr>
          <w:rFonts w:hint="default" w:ascii="Times New Roman" w:hAnsi="Times New Roman" w:eastAsia="仿宋_GB2312" w:cs="Times New Roman"/>
          <w:bCs/>
          <w:sz w:val="28"/>
          <w:szCs w:val="28"/>
        </w:rPr>
        <w:instrText xml:space="preserve"> HYPERLINK \l _Toc26121 </w:instrText>
      </w:r>
      <w:r>
        <w:rPr>
          <w:rFonts w:hint="default" w:ascii="Times New Roman" w:hAnsi="Times New Roman" w:eastAsia="仿宋_GB2312" w:cs="Times New Roman"/>
          <w:bCs/>
          <w:sz w:val="28"/>
          <w:szCs w:val="28"/>
        </w:rPr>
        <w:fldChar w:fldCharType="separate"/>
      </w:r>
      <w:r>
        <w:rPr>
          <w:rFonts w:hint="default" w:ascii="Times New Roman" w:hAnsi="Times New Roman" w:eastAsia="仿宋_GB2312" w:cs="Times New Roman"/>
          <w:sz w:val="28"/>
          <w:szCs w:val="28"/>
        </w:rPr>
        <w:t>1.4 产业定位</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_Toc26121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color w:val="FF0000"/>
          <w:sz w:val="28"/>
          <w:szCs w:val="28"/>
        </w:rPr>
        <w:fldChar w:fldCharType="end"/>
      </w:r>
    </w:p>
    <w:p w14:paraId="29E40095">
      <w:pPr>
        <w:pStyle w:val="15"/>
        <w:tabs>
          <w:tab w:val="right" w:leader="dot" w:pos="8306"/>
        </w:tabs>
        <w:rPr>
          <w:rFonts w:hint="default" w:ascii="Times New Roman" w:hAnsi="Times New Roman" w:eastAsia="仿宋_GB2312" w:cs="Times New Roman"/>
          <w:sz w:val="28"/>
          <w:szCs w:val="28"/>
        </w:rPr>
      </w:pPr>
      <w:r>
        <w:rPr>
          <w:rFonts w:hint="default" w:ascii="Times New Roman" w:hAnsi="Times New Roman" w:eastAsia="仿宋_GB2312" w:cs="Times New Roman"/>
          <w:bCs/>
          <w:color w:val="FF0000"/>
          <w:sz w:val="28"/>
          <w:szCs w:val="28"/>
        </w:rPr>
        <w:fldChar w:fldCharType="begin"/>
      </w:r>
      <w:r>
        <w:rPr>
          <w:rFonts w:hint="default" w:ascii="Times New Roman" w:hAnsi="Times New Roman" w:eastAsia="仿宋_GB2312" w:cs="Times New Roman"/>
          <w:bCs/>
          <w:sz w:val="28"/>
          <w:szCs w:val="28"/>
        </w:rPr>
        <w:instrText xml:space="preserve"> HYPERLINK \l _Toc26514 </w:instrText>
      </w:r>
      <w:r>
        <w:rPr>
          <w:rFonts w:hint="default" w:ascii="Times New Roman" w:hAnsi="Times New Roman" w:eastAsia="仿宋_GB2312" w:cs="Times New Roman"/>
          <w:bCs/>
          <w:sz w:val="28"/>
          <w:szCs w:val="28"/>
        </w:rPr>
        <w:fldChar w:fldCharType="separate"/>
      </w:r>
      <w:r>
        <w:rPr>
          <w:rFonts w:hint="default" w:ascii="Times New Roman" w:hAnsi="Times New Roman" w:eastAsia="仿宋_GB2312" w:cs="Times New Roman"/>
          <w:sz w:val="28"/>
          <w:szCs w:val="28"/>
        </w:rPr>
        <w:t>1.5 基础设施规划</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_Toc26514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color w:val="FF0000"/>
          <w:sz w:val="28"/>
          <w:szCs w:val="28"/>
        </w:rPr>
        <w:fldChar w:fldCharType="end"/>
      </w:r>
    </w:p>
    <w:p w14:paraId="385CC073">
      <w:pPr>
        <w:pStyle w:val="14"/>
        <w:tabs>
          <w:tab w:val="right" w:leader="dot" w:pos="8306"/>
          <w:tab w:val="clear" w:pos="8296"/>
        </w:tabs>
        <w:rPr>
          <w:rFonts w:hint="default" w:ascii="Times New Roman" w:hAnsi="Times New Roman" w:eastAsia="仿宋_GB2312" w:cs="Times New Roman"/>
          <w:b/>
          <w:bCs w:val="0"/>
          <w:sz w:val="28"/>
          <w:szCs w:val="28"/>
        </w:rPr>
      </w:pPr>
      <w:r>
        <w:rPr>
          <w:rFonts w:hint="default" w:ascii="Times New Roman" w:hAnsi="Times New Roman" w:eastAsia="仿宋_GB2312" w:cs="Times New Roman"/>
          <w:b/>
          <w:bCs w:val="0"/>
          <w:color w:val="FF0000"/>
          <w:sz w:val="28"/>
          <w:szCs w:val="28"/>
        </w:rPr>
        <w:fldChar w:fldCharType="begin"/>
      </w:r>
      <w:r>
        <w:rPr>
          <w:rFonts w:hint="default" w:ascii="Times New Roman" w:hAnsi="Times New Roman" w:eastAsia="仿宋_GB2312" w:cs="Times New Roman"/>
          <w:b/>
          <w:bCs w:val="0"/>
          <w:sz w:val="28"/>
          <w:szCs w:val="28"/>
        </w:rPr>
        <w:instrText xml:space="preserve"> HYPERLINK \l _Toc8519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2 规划协调性分析</w:t>
      </w:r>
      <w:r>
        <w:rPr>
          <w:rFonts w:hint="default" w:ascii="Times New Roman" w:hAnsi="Times New Roman" w:eastAsia="仿宋_GB2312" w:cs="Times New Roman"/>
          <w:b/>
          <w:bCs w:val="0"/>
          <w:sz w:val="28"/>
          <w:szCs w:val="28"/>
        </w:rPr>
        <w:tab/>
      </w:r>
      <w:r>
        <w:rPr>
          <w:rFonts w:hint="default" w:ascii="Times New Roman" w:hAnsi="Times New Roman" w:eastAsia="仿宋_GB2312" w:cs="Times New Roman"/>
          <w:b/>
          <w:bCs w:val="0"/>
          <w:sz w:val="28"/>
          <w:szCs w:val="28"/>
        </w:rPr>
        <w:fldChar w:fldCharType="begin"/>
      </w:r>
      <w:r>
        <w:rPr>
          <w:rFonts w:hint="default" w:ascii="Times New Roman" w:hAnsi="Times New Roman" w:eastAsia="仿宋_GB2312" w:cs="Times New Roman"/>
          <w:b/>
          <w:bCs w:val="0"/>
          <w:sz w:val="28"/>
          <w:szCs w:val="28"/>
        </w:rPr>
        <w:instrText xml:space="preserve"> PAGEREF _Toc8519 \h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6</w:t>
      </w:r>
      <w:r>
        <w:rPr>
          <w:rFonts w:hint="default" w:ascii="Times New Roman" w:hAnsi="Times New Roman" w:eastAsia="仿宋_GB2312" w:cs="Times New Roman"/>
          <w:b/>
          <w:bCs w:val="0"/>
          <w:sz w:val="28"/>
          <w:szCs w:val="28"/>
        </w:rPr>
        <w:fldChar w:fldCharType="end"/>
      </w:r>
      <w:r>
        <w:rPr>
          <w:rFonts w:hint="default" w:ascii="Times New Roman" w:hAnsi="Times New Roman" w:eastAsia="仿宋_GB2312" w:cs="Times New Roman"/>
          <w:b/>
          <w:bCs w:val="0"/>
          <w:color w:val="FF0000"/>
          <w:sz w:val="28"/>
          <w:szCs w:val="28"/>
        </w:rPr>
        <w:fldChar w:fldCharType="end"/>
      </w:r>
    </w:p>
    <w:p w14:paraId="6F99E406">
      <w:pPr>
        <w:pStyle w:val="15"/>
        <w:tabs>
          <w:tab w:val="right" w:leader="dot" w:pos="8306"/>
        </w:tabs>
        <w:rPr>
          <w:rFonts w:hint="default" w:ascii="Times New Roman" w:hAnsi="Times New Roman" w:eastAsia="仿宋_GB2312" w:cs="Times New Roman"/>
          <w:sz w:val="28"/>
          <w:szCs w:val="28"/>
        </w:rPr>
      </w:pPr>
      <w:r>
        <w:rPr>
          <w:rFonts w:hint="default" w:ascii="Times New Roman" w:hAnsi="Times New Roman" w:eastAsia="仿宋_GB2312" w:cs="Times New Roman"/>
          <w:bCs/>
          <w:color w:val="FF0000"/>
          <w:sz w:val="28"/>
          <w:szCs w:val="28"/>
        </w:rPr>
        <w:fldChar w:fldCharType="begin"/>
      </w:r>
      <w:r>
        <w:rPr>
          <w:rFonts w:hint="default" w:ascii="Times New Roman" w:hAnsi="Times New Roman" w:eastAsia="仿宋_GB2312" w:cs="Times New Roman"/>
          <w:bCs/>
          <w:sz w:val="28"/>
          <w:szCs w:val="28"/>
        </w:rPr>
        <w:instrText xml:space="preserve"> HYPERLINK \l _Toc2925 </w:instrText>
      </w:r>
      <w:r>
        <w:rPr>
          <w:rFonts w:hint="default" w:ascii="Times New Roman" w:hAnsi="Times New Roman" w:eastAsia="仿宋_GB2312" w:cs="Times New Roman"/>
          <w:bCs/>
          <w:sz w:val="28"/>
          <w:szCs w:val="28"/>
        </w:rPr>
        <w:fldChar w:fldCharType="separate"/>
      </w:r>
      <w:r>
        <w:rPr>
          <w:rFonts w:hint="default" w:ascii="Times New Roman" w:hAnsi="Times New Roman" w:eastAsia="仿宋_GB2312" w:cs="Times New Roman"/>
          <w:sz w:val="28"/>
          <w:szCs w:val="28"/>
        </w:rPr>
        <w:t>2.1 与区域发展规划协调性分析</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_Toc2925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color w:val="FF0000"/>
          <w:sz w:val="28"/>
          <w:szCs w:val="28"/>
        </w:rPr>
        <w:fldChar w:fldCharType="end"/>
      </w:r>
    </w:p>
    <w:p w14:paraId="482DF8C0">
      <w:pPr>
        <w:pStyle w:val="15"/>
        <w:tabs>
          <w:tab w:val="right" w:leader="dot" w:pos="8306"/>
        </w:tabs>
        <w:rPr>
          <w:rFonts w:hint="default" w:ascii="Times New Roman" w:hAnsi="Times New Roman" w:eastAsia="仿宋_GB2312" w:cs="Times New Roman"/>
          <w:sz w:val="28"/>
          <w:szCs w:val="28"/>
        </w:rPr>
      </w:pPr>
      <w:r>
        <w:rPr>
          <w:rFonts w:hint="default" w:ascii="Times New Roman" w:hAnsi="Times New Roman" w:eastAsia="仿宋_GB2312" w:cs="Times New Roman"/>
          <w:bCs/>
          <w:color w:val="FF0000"/>
          <w:sz w:val="28"/>
          <w:szCs w:val="28"/>
        </w:rPr>
        <w:fldChar w:fldCharType="begin"/>
      </w:r>
      <w:r>
        <w:rPr>
          <w:rFonts w:hint="default" w:ascii="Times New Roman" w:hAnsi="Times New Roman" w:eastAsia="仿宋_GB2312" w:cs="Times New Roman"/>
          <w:bCs/>
          <w:sz w:val="28"/>
          <w:szCs w:val="28"/>
        </w:rPr>
        <w:instrText xml:space="preserve"> HYPERLINK \l _Toc20639 </w:instrText>
      </w:r>
      <w:r>
        <w:rPr>
          <w:rFonts w:hint="default" w:ascii="Times New Roman" w:hAnsi="Times New Roman" w:eastAsia="仿宋_GB2312" w:cs="Times New Roman"/>
          <w:bCs/>
          <w:sz w:val="28"/>
          <w:szCs w:val="28"/>
        </w:rPr>
        <w:fldChar w:fldCharType="separate"/>
      </w:r>
      <w:r>
        <w:rPr>
          <w:rFonts w:hint="default" w:ascii="Times New Roman" w:hAnsi="Times New Roman" w:eastAsia="仿宋_GB2312" w:cs="Times New Roman"/>
          <w:sz w:val="28"/>
          <w:szCs w:val="28"/>
        </w:rPr>
        <w:t>2.2 与区域国土空间规划协调性分析</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_Toc20639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color w:val="FF0000"/>
          <w:sz w:val="28"/>
          <w:szCs w:val="28"/>
        </w:rPr>
        <w:fldChar w:fldCharType="end"/>
      </w:r>
    </w:p>
    <w:p w14:paraId="47EC0BF0">
      <w:pPr>
        <w:pStyle w:val="15"/>
        <w:tabs>
          <w:tab w:val="right" w:leader="dot" w:pos="8306"/>
        </w:tabs>
        <w:rPr>
          <w:rFonts w:hint="default" w:ascii="Times New Roman" w:hAnsi="Times New Roman" w:eastAsia="仿宋_GB2312" w:cs="Times New Roman"/>
          <w:sz w:val="28"/>
          <w:szCs w:val="28"/>
        </w:rPr>
      </w:pPr>
      <w:r>
        <w:rPr>
          <w:rFonts w:hint="default" w:ascii="Times New Roman" w:hAnsi="Times New Roman" w:eastAsia="仿宋_GB2312" w:cs="Times New Roman"/>
          <w:bCs/>
          <w:color w:val="FF0000"/>
          <w:sz w:val="28"/>
          <w:szCs w:val="28"/>
        </w:rPr>
        <w:fldChar w:fldCharType="begin"/>
      </w:r>
      <w:r>
        <w:rPr>
          <w:rFonts w:hint="default" w:ascii="Times New Roman" w:hAnsi="Times New Roman" w:eastAsia="仿宋_GB2312" w:cs="Times New Roman"/>
          <w:bCs/>
          <w:sz w:val="28"/>
          <w:szCs w:val="28"/>
        </w:rPr>
        <w:instrText xml:space="preserve"> HYPERLINK \l _Toc22986 </w:instrText>
      </w:r>
      <w:r>
        <w:rPr>
          <w:rFonts w:hint="default" w:ascii="Times New Roman" w:hAnsi="Times New Roman" w:eastAsia="仿宋_GB2312" w:cs="Times New Roman"/>
          <w:bCs/>
          <w:sz w:val="28"/>
          <w:szCs w:val="28"/>
        </w:rPr>
        <w:fldChar w:fldCharType="separate"/>
      </w:r>
      <w:r>
        <w:rPr>
          <w:rFonts w:hint="default" w:ascii="Times New Roman" w:hAnsi="Times New Roman" w:eastAsia="仿宋_GB2312" w:cs="Times New Roman"/>
          <w:sz w:val="28"/>
          <w:szCs w:val="28"/>
        </w:rPr>
        <w:t>2.3 与产业政策及规划协调性分析</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_Toc22986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color w:val="FF0000"/>
          <w:sz w:val="28"/>
          <w:szCs w:val="28"/>
        </w:rPr>
        <w:fldChar w:fldCharType="end"/>
      </w:r>
    </w:p>
    <w:p w14:paraId="6130E5D6">
      <w:pPr>
        <w:pStyle w:val="15"/>
        <w:tabs>
          <w:tab w:val="right" w:leader="dot" w:pos="8306"/>
        </w:tabs>
        <w:rPr>
          <w:rFonts w:hint="default" w:ascii="Times New Roman" w:hAnsi="Times New Roman" w:eastAsia="仿宋_GB2312" w:cs="Times New Roman"/>
          <w:sz w:val="28"/>
          <w:szCs w:val="28"/>
        </w:rPr>
      </w:pPr>
      <w:r>
        <w:rPr>
          <w:rFonts w:hint="default" w:ascii="Times New Roman" w:hAnsi="Times New Roman" w:eastAsia="仿宋_GB2312" w:cs="Times New Roman"/>
          <w:bCs/>
          <w:color w:val="FF0000"/>
          <w:sz w:val="28"/>
          <w:szCs w:val="28"/>
        </w:rPr>
        <w:fldChar w:fldCharType="begin"/>
      </w:r>
      <w:r>
        <w:rPr>
          <w:rFonts w:hint="default" w:ascii="Times New Roman" w:hAnsi="Times New Roman" w:eastAsia="仿宋_GB2312" w:cs="Times New Roman"/>
          <w:bCs/>
          <w:sz w:val="28"/>
          <w:szCs w:val="28"/>
        </w:rPr>
        <w:instrText xml:space="preserve"> HYPERLINK \l _Toc18680 </w:instrText>
      </w:r>
      <w:r>
        <w:rPr>
          <w:rFonts w:hint="default" w:ascii="Times New Roman" w:hAnsi="Times New Roman" w:eastAsia="仿宋_GB2312" w:cs="Times New Roman"/>
          <w:bCs/>
          <w:sz w:val="28"/>
          <w:szCs w:val="28"/>
        </w:rPr>
        <w:fldChar w:fldCharType="separate"/>
      </w:r>
      <w:r>
        <w:rPr>
          <w:rFonts w:hint="default" w:ascii="Times New Roman" w:hAnsi="Times New Roman" w:eastAsia="仿宋_GB2312" w:cs="Times New Roman"/>
          <w:sz w:val="28"/>
          <w:szCs w:val="28"/>
        </w:rPr>
        <w:t>2.4 与生态环境保护法规及规划协调性分析</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_Toc18680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7</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color w:val="FF0000"/>
          <w:sz w:val="28"/>
          <w:szCs w:val="28"/>
        </w:rPr>
        <w:fldChar w:fldCharType="end"/>
      </w:r>
    </w:p>
    <w:p w14:paraId="6C585468">
      <w:pPr>
        <w:pStyle w:val="14"/>
        <w:tabs>
          <w:tab w:val="right" w:leader="dot" w:pos="8306"/>
          <w:tab w:val="clear" w:pos="8296"/>
        </w:tabs>
        <w:rPr>
          <w:rFonts w:hint="default" w:ascii="Times New Roman" w:hAnsi="Times New Roman" w:eastAsia="仿宋_GB2312" w:cs="Times New Roman"/>
          <w:b/>
          <w:bCs w:val="0"/>
          <w:sz w:val="28"/>
          <w:szCs w:val="28"/>
        </w:rPr>
      </w:pPr>
      <w:r>
        <w:rPr>
          <w:rFonts w:hint="default" w:ascii="Times New Roman" w:hAnsi="Times New Roman" w:eastAsia="仿宋_GB2312" w:cs="Times New Roman"/>
          <w:b/>
          <w:bCs w:val="0"/>
          <w:color w:val="FF0000"/>
          <w:sz w:val="28"/>
          <w:szCs w:val="28"/>
        </w:rPr>
        <w:fldChar w:fldCharType="begin"/>
      </w:r>
      <w:r>
        <w:rPr>
          <w:rFonts w:hint="default" w:ascii="Times New Roman" w:hAnsi="Times New Roman" w:eastAsia="仿宋_GB2312" w:cs="Times New Roman"/>
          <w:b/>
          <w:bCs w:val="0"/>
          <w:sz w:val="28"/>
          <w:szCs w:val="28"/>
        </w:rPr>
        <w:instrText xml:space="preserve"> HYPERLINK \l _Toc23698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3 环境质量现状</w:t>
      </w:r>
      <w:r>
        <w:rPr>
          <w:rFonts w:hint="default" w:ascii="Times New Roman" w:hAnsi="Times New Roman" w:eastAsia="仿宋_GB2312" w:cs="Times New Roman"/>
          <w:b/>
          <w:bCs w:val="0"/>
          <w:sz w:val="28"/>
          <w:szCs w:val="28"/>
        </w:rPr>
        <w:tab/>
      </w:r>
      <w:r>
        <w:rPr>
          <w:rFonts w:hint="default" w:ascii="Times New Roman" w:hAnsi="Times New Roman" w:eastAsia="仿宋_GB2312" w:cs="Times New Roman"/>
          <w:b/>
          <w:bCs w:val="0"/>
          <w:sz w:val="28"/>
          <w:szCs w:val="28"/>
        </w:rPr>
        <w:fldChar w:fldCharType="begin"/>
      </w:r>
      <w:r>
        <w:rPr>
          <w:rFonts w:hint="default" w:ascii="Times New Roman" w:hAnsi="Times New Roman" w:eastAsia="仿宋_GB2312" w:cs="Times New Roman"/>
          <w:b/>
          <w:bCs w:val="0"/>
          <w:sz w:val="28"/>
          <w:szCs w:val="28"/>
        </w:rPr>
        <w:instrText xml:space="preserve"> PAGEREF _Toc23698 \h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9</w:t>
      </w:r>
      <w:r>
        <w:rPr>
          <w:rFonts w:hint="default" w:ascii="Times New Roman" w:hAnsi="Times New Roman" w:eastAsia="仿宋_GB2312" w:cs="Times New Roman"/>
          <w:b/>
          <w:bCs w:val="0"/>
          <w:sz w:val="28"/>
          <w:szCs w:val="28"/>
        </w:rPr>
        <w:fldChar w:fldCharType="end"/>
      </w:r>
      <w:r>
        <w:rPr>
          <w:rFonts w:hint="default" w:ascii="Times New Roman" w:hAnsi="Times New Roman" w:eastAsia="仿宋_GB2312" w:cs="Times New Roman"/>
          <w:b/>
          <w:bCs w:val="0"/>
          <w:color w:val="FF0000"/>
          <w:sz w:val="28"/>
          <w:szCs w:val="28"/>
        </w:rPr>
        <w:fldChar w:fldCharType="end"/>
      </w:r>
    </w:p>
    <w:p w14:paraId="1E5FFC46">
      <w:pPr>
        <w:pStyle w:val="14"/>
        <w:tabs>
          <w:tab w:val="right" w:leader="dot" w:pos="8306"/>
          <w:tab w:val="clear" w:pos="8296"/>
        </w:tabs>
        <w:rPr>
          <w:rFonts w:hint="default" w:ascii="Times New Roman" w:hAnsi="Times New Roman" w:eastAsia="仿宋_GB2312" w:cs="Times New Roman"/>
          <w:b/>
          <w:bCs w:val="0"/>
          <w:sz w:val="28"/>
          <w:szCs w:val="28"/>
        </w:rPr>
      </w:pPr>
      <w:r>
        <w:rPr>
          <w:rFonts w:hint="default" w:ascii="Times New Roman" w:hAnsi="Times New Roman" w:eastAsia="仿宋_GB2312" w:cs="Times New Roman"/>
          <w:b/>
          <w:bCs w:val="0"/>
          <w:color w:val="FF0000"/>
          <w:sz w:val="28"/>
          <w:szCs w:val="28"/>
        </w:rPr>
        <w:fldChar w:fldCharType="begin"/>
      </w:r>
      <w:r>
        <w:rPr>
          <w:rFonts w:hint="default" w:ascii="Times New Roman" w:hAnsi="Times New Roman" w:eastAsia="仿宋_GB2312" w:cs="Times New Roman"/>
          <w:b/>
          <w:bCs w:val="0"/>
          <w:sz w:val="28"/>
          <w:szCs w:val="28"/>
        </w:rPr>
        <w:instrText xml:space="preserve"> HYPERLINK \l _Toc15045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4 环境影响预测结论</w:t>
      </w:r>
      <w:r>
        <w:rPr>
          <w:rFonts w:hint="default" w:ascii="Times New Roman" w:hAnsi="Times New Roman" w:eastAsia="仿宋_GB2312" w:cs="Times New Roman"/>
          <w:b/>
          <w:bCs w:val="0"/>
          <w:sz w:val="28"/>
          <w:szCs w:val="28"/>
        </w:rPr>
        <w:tab/>
      </w:r>
      <w:r>
        <w:rPr>
          <w:rFonts w:hint="default" w:ascii="Times New Roman" w:hAnsi="Times New Roman" w:eastAsia="仿宋_GB2312" w:cs="Times New Roman"/>
          <w:b/>
          <w:bCs w:val="0"/>
          <w:sz w:val="28"/>
          <w:szCs w:val="28"/>
        </w:rPr>
        <w:fldChar w:fldCharType="begin"/>
      </w:r>
      <w:r>
        <w:rPr>
          <w:rFonts w:hint="default" w:ascii="Times New Roman" w:hAnsi="Times New Roman" w:eastAsia="仿宋_GB2312" w:cs="Times New Roman"/>
          <w:b/>
          <w:bCs w:val="0"/>
          <w:sz w:val="28"/>
          <w:szCs w:val="28"/>
        </w:rPr>
        <w:instrText xml:space="preserve"> PAGEREF _Toc15045 \h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11</w:t>
      </w:r>
      <w:r>
        <w:rPr>
          <w:rFonts w:hint="default" w:ascii="Times New Roman" w:hAnsi="Times New Roman" w:eastAsia="仿宋_GB2312" w:cs="Times New Roman"/>
          <w:b/>
          <w:bCs w:val="0"/>
          <w:sz w:val="28"/>
          <w:szCs w:val="28"/>
        </w:rPr>
        <w:fldChar w:fldCharType="end"/>
      </w:r>
      <w:r>
        <w:rPr>
          <w:rFonts w:hint="default" w:ascii="Times New Roman" w:hAnsi="Times New Roman" w:eastAsia="仿宋_GB2312" w:cs="Times New Roman"/>
          <w:b/>
          <w:bCs w:val="0"/>
          <w:color w:val="FF0000"/>
          <w:sz w:val="28"/>
          <w:szCs w:val="28"/>
        </w:rPr>
        <w:fldChar w:fldCharType="end"/>
      </w:r>
    </w:p>
    <w:p w14:paraId="42DF242D">
      <w:pPr>
        <w:pStyle w:val="14"/>
        <w:tabs>
          <w:tab w:val="right" w:leader="dot" w:pos="8306"/>
          <w:tab w:val="clear" w:pos="8296"/>
        </w:tabs>
        <w:rPr>
          <w:rFonts w:hint="default" w:ascii="Times New Roman" w:hAnsi="Times New Roman" w:eastAsia="仿宋_GB2312" w:cs="Times New Roman"/>
          <w:b/>
          <w:bCs w:val="0"/>
          <w:sz w:val="28"/>
          <w:szCs w:val="28"/>
        </w:rPr>
      </w:pPr>
      <w:r>
        <w:rPr>
          <w:rFonts w:hint="default" w:ascii="Times New Roman" w:hAnsi="Times New Roman" w:eastAsia="仿宋_GB2312" w:cs="Times New Roman"/>
          <w:b/>
          <w:bCs w:val="0"/>
          <w:color w:val="FF0000"/>
          <w:sz w:val="28"/>
          <w:szCs w:val="28"/>
        </w:rPr>
        <w:fldChar w:fldCharType="begin"/>
      </w:r>
      <w:r>
        <w:rPr>
          <w:rFonts w:hint="default" w:ascii="Times New Roman" w:hAnsi="Times New Roman" w:eastAsia="仿宋_GB2312" w:cs="Times New Roman"/>
          <w:b/>
          <w:bCs w:val="0"/>
          <w:sz w:val="28"/>
          <w:szCs w:val="28"/>
        </w:rPr>
        <w:instrText xml:space="preserve"> HYPERLINK \l _Toc24532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5 规划方案综合论证</w:t>
      </w:r>
      <w:r>
        <w:rPr>
          <w:rFonts w:hint="default" w:ascii="Times New Roman" w:hAnsi="Times New Roman" w:eastAsia="仿宋_GB2312" w:cs="Times New Roman"/>
          <w:b/>
          <w:bCs w:val="0"/>
          <w:sz w:val="28"/>
          <w:szCs w:val="28"/>
        </w:rPr>
        <w:tab/>
      </w:r>
      <w:r>
        <w:rPr>
          <w:rFonts w:hint="default" w:ascii="Times New Roman" w:hAnsi="Times New Roman" w:eastAsia="仿宋_GB2312" w:cs="Times New Roman"/>
          <w:b/>
          <w:bCs w:val="0"/>
          <w:sz w:val="28"/>
          <w:szCs w:val="28"/>
        </w:rPr>
        <w:fldChar w:fldCharType="begin"/>
      </w:r>
      <w:r>
        <w:rPr>
          <w:rFonts w:hint="default" w:ascii="Times New Roman" w:hAnsi="Times New Roman" w:eastAsia="仿宋_GB2312" w:cs="Times New Roman"/>
          <w:b/>
          <w:bCs w:val="0"/>
          <w:sz w:val="28"/>
          <w:szCs w:val="28"/>
        </w:rPr>
        <w:instrText xml:space="preserve"> PAGEREF _Toc24532 \h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13</w:t>
      </w:r>
      <w:r>
        <w:rPr>
          <w:rFonts w:hint="default" w:ascii="Times New Roman" w:hAnsi="Times New Roman" w:eastAsia="仿宋_GB2312" w:cs="Times New Roman"/>
          <w:b/>
          <w:bCs w:val="0"/>
          <w:sz w:val="28"/>
          <w:szCs w:val="28"/>
        </w:rPr>
        <w:fldChar w:fldCharType="end"/>
      </w:r>
      <w:r>
        <w:rPr>
          <w:rFonts w:hint="default" w:ascii="Times New Roman" w:hAnsi="Times New Roman" w:eastAsia="仿宋_GB2312" w:cs="Times New Roman"/>
          <w:b/>
          <w:bCs w:val="0"/>
          <w:color w:val="FF0000"/>
          <w:sz w:val="28"/>
          <w:szCs w:val="28"/>
        </w:rPr>
        <w:fldChar w:fldCharType="end"/>
      </w:r>
    </w:p>
    <w:p w14:paraId="4EEB4C4B">
      <w:pPr>
        <w:pStyle w:val="14"/>
        <w:tabs>
          <w:tab w:val="right" w:leader="dot" w:pos="8306"/>
          <w:tab w:val="clear" w:pos="8296"/>
        </w:tabs>
        <w:rPr>
          <w:rFonts w:hint="default" w:ascii="Times New Roman" w:hAnsi="Times New Roman" w:eastAsia="仿宋_GB2312" w:cs="Times New Roman"/>
          <w:b/>
          <w:bCs w:val="0"/>
          <w:sz w:val="28"/>
          <w:szCs w:val="28"/>
        </w:rPr>
      </w:pPr>
      <w:r>
        <w:rPr>
          <w:rFonts w:hint="default" w:ascii="Times New Roman" w:hAnsi="Times New Roman" w:eastAsia="仿宋_GB2312" w:cs="Times New Roman"/>
          <w:b/>
          <w:bCs w:val="0"/>
          <w:color w:val="FF0000"/>
          <w:sz w:val="28"/>
          <w:szCs w:val="28"/>
        </w:rPr>
        <w:fldChar w:fldCharType="begin"/>
      </w:r>
      <w:r>
        <w:rPr>
          <w:rFonts w:hint="default" w:ascii="Times New Roman" w:hAnsi="Times New Roman" w:eastAsia="仿宋_GB2312" w:cs="Times New Roman"/>
          <w:b/>
          <w:bCs w:val="0"/>
          <w:sz w:val="28"/>
          <w:szCs w:val="28"/>
        </w:rPr>
        <w:instrText xml:space="preserve"> HYPERLINK \l _Toc20898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6 环境影响减缓措施</w:t>
      </w:r>
      <w:r>
        <w:rPr>
          <w:rFonts w:hint="default" w:ascii="Times New Roman" w:hAnsi="Times New Roman" w:eastAsia="仿宋_GB2312" w:cs="Times New Roman"/>
          <w:b/>
          <w:bCs w:val="0"/>
          <w:sz w:val="28"/>
          <w:szCs w:val="28"/>
        </w:rPr>
        <w:tab/>
      </w:r>
      <w:r>
        <w:rPr>
          <w:rFonts w:hint="default" w:ascii="Times New Roman" w:hAnsi="Times New Roman" w:eastAsia="仿宋_GB2312" w:cs="Times New Roman"/>
          <w:b/>
          <w:bCs w:val="0"/>
          <w:sz w:val="28"/>
          <w:szCs w:val="28"/>
        </w:rPr>
        <w:fldChar w:fldCharType="begin"/>
      </w:r>
      <w:r>
        <w:rPr>
          <w:rFonts w:hint="default" w:ascii="Times New Roman" w:hAnsi="Times New Roman" w:eastAsia="仿宋_GB2312" w:cs="Times New Roman"/>
          <w:b/>
          <w:bCs w:val="0"/>
          <w:sz w:val="28"/>
          <w:szCs w:val="28"/>
        </w:rPr>
        <w:instrText xml:space="preserve"> PAGEREF _Toc20898 \h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15</w:t>
      </w:r>
      <w:r>
        <w:rPr>
          <w:rFonts w:hint="default" w:ascii="Times New Roman" w:hAnsi="Times New Roman" w:eastAsia="仿宋_GB2312" w:cs="Times New Roman"/>
          <w:b/>
          <w:bCs w:val="0"/>
          <w:sz w:val="28"/>
          <w:szCs w:val="28"/>
        </w:rPr>
        <w:fldChar w:fldCharType="end"/>
      </w:r>
      <w:r>
        <w:rPr>
          <w:rFonts w:hint="default" w:ascii="Times New Roman" w:hAnsi="Times New Roman" w:eastAsia="仿宋_GB2312" w:cs="Times New Roman"/>
          <w:b/>
          <w:bCs w:val="0"/>
          <w:color w:val="FF0000"/>
          <w:sz w:val="28"/>
          <w:szCs w:val="28"/>
        </w:rPr>
        <w:fldChar w:fldCharType="end"/>
      </w:r>
    </w:p>
    <w:p w14:paraId="4A09B374">
      <w:pPr>
        <w:pStyle w:val="14"/>
        <w:tabs>
          <w:tab w:val="right" w:leader="dot" w:pos="8306"/>
          <w:tab w:val="clear" w:pos="8296"/>
        </w:tabs>
        <w:rPr>
          <w:rFonts w:hint="default" w:ascii="Times New Roman" w:hAnsi="Times New Roman" w:eastAsia="仿宋_GB2312" w:cs="Times New Roman"/>
          <w:b/>
          <w:bCs w:val="0"/>
          <w:sz w:val="28"/>
          <w:szCs w:val="28"/>
        </w:rPr>
      </w:pPr>
      <w:r>
        <w:rPr>
          <w:rFonts w:hint="default" w:ascii="Times New Roman" w:hAnsi="Times New Roman" w:eastAsia="仿宋_GB2312" w:cs="Times New Roman"/>
          <w:b/>
          <w:bCs w:val="0"/>
          <w:color w:val="FF0000"/>
          <w:sz w:val="28"/>
          <w:szCs w:val="28"/>
        </w:rPr>
        <w:fldChar w:fldCharType="begin"/>
      </w:r>
      <w:r>
        <w:rPr>
          <w:rFonts w:hint="default" w:ascii="Times New Roman" w:hAnsi="Times New Roman" w:eastAsia="仿宋_GB2312" w:cs="Times New Roman"/>
          <w:b/>
          <w:bCs w:val="0"/>
          <w:sz w:val="28"/>
          <w:szCs w:val="28"/>
        </w:rPr>
        <w:instrText xml:space="preserve"> HYPERLINK \l _Toc14711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7 公众参与方案</w:t>
      </w:r>
      <w:r>
        <w:rPr>
          <w:rFonts w:hint="default" w:ascii="Times New Roman" w:hAnsi="Times New Roman" w:eastAsia="仿宋_GB2312" w:cs="Times New Roman"/>
          <w:b/>
          <w:bCs w:val="0"/>
          <w:sz w:val="28"/>
          <w:szCs w:val="28"/>
        </w:rPr>
        <w:tab/>
      </w:r>
      <w:r>
        <w:rPr>
          <w:rFonts w:hint="default" w:ascii="Times New Roman" w:hAnsi="Times New Roman" w:eastAsia="仿宋_GB2312" w:cs="Times New Roman"/>
          <w:b/>
          <w:bCs w:val="0"/>
          <w:sz w:val="28"/>
          <w:szCs w:val="28"/>
        </w:rPr>
        <w:fldChar w:fldCharType="begin"/>
      </w:r>
      <w:r>
        <w:rPr>
          <w:rFonts w:hint="default" w:ascii="Times New Roman" w:hAnsi="Times New Roman" w:eastAsia="仿宋_GB2312" w:cs="Times New Roman"/>
          <w:b/>
          <w:bCs w:val="0"/>
          <w:sz w:val="28"/>
          <w:szCs w:val="28"/>
        </w:rPr>
        <w:instrText xml:space="preserve"> PAGEREF _Toc14711 \h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17</w:t>
      </w:r>
      <w:r>
        <w:rPr>
          <w:rFonts w:hint="default" w:ascii="Times New Roman" w:hAnsi="Times New Roman" w:eastAsia="仿宋_GB2312" w:cs="Times New Roman"/>
          <w:b/>
          <w:bCs w:val="0"/>
          <w:sz w:val="28"/>
          <w:szCs w:val="28"/>
        </w:rPr>
        <w:fldChar w:fldCharType="end"/>
      </w:r>
      <w:r>
        <w:rPr>
          <w:rFonts w:hint="default" w:ascii="Times New Roman" w:hAnsi="Times New Roman" w:eastAsia="仿宋_GB2312" w:cs="Times New Roman"/>
          <w:b/>
          <w:bCs w:val="0"/>
          <w:color w:val="FF0000"/>
          <w:sz w:val="28"/>
          <w:szCs w:val="28"/>
        </w:rPr>
        <w:fldChar w:fldCharType="end"/>
      </w:r>
    </w:p>
    <w:p w14:paraId="52ED0290">
      <w:pPr>
        <w:pStyle w:val="14"/>
        <w:tabs>
          <w:tab w:val="right" w:leader="dot" w:pos="8306"/>
          <w:tab w:val="clear" w:pos="8296"/>
        </w:tabs>
        <w:rPr>
          <w:rFonts w:hint="default" w:ascii="Times New Roman" w:hAnsi="Times New Roman" w:eastAsia="仿宋_GB2312" w:cs="Times New Roman"/>
          <w:b/>
          <w:bCs w:val="0"/>
          <w:sz w:val="28"/>
          <w:szCs w:val="28"/>
        </w:rPr>
      </w:pPr>
      <w:r>
        <w:rPr>
          <w:rFonts w:hint="default" w:ascii="Times New Roman" w:hAnsi="Times New Roman" w:eastAsia="仿宋_GB2312" w:cs="Times New Roman"/>
          <w:b/>
          <w:bCs w:val="0"/>
          <w:color w:val="FF0000"/>
          <w:sz w:val="28"/>
          <w:szCs w:val="28"/>
        </w:rPr>
        <w:fldChar w:fldCharType="begin"/>
      </w:r>
      <w:r>
        <w:rPr>
          <w:rFonts w:hint="default" w:ascii="Times New Roman" w:hAnsi="Times New Roman" w:eastAsia="仿宋_GB2312" w:cs="Times New Roman"/>
          <w:b/>
          <w:bCs w:val="0"/>
          <w:sz w:val="28"/>
          <w:szCs w:val="28"/>
        </w:rPr>
        <w:instrText xml:space="preserve"> HYPERLINK \l _Toc27046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8 环境影响评价总结论</w:t>
      </w:r>
      <w:r>
        <w:rPr>
          <w:rFonts w:hint="default" w:ascii="Times New Roman" w:hAnsi="Times New Roman" w:eastAsia="仿宋_GB2312" w:cs="Times New Roman"/>
          <w:b/>
          <w:bCs w:val="0"/>
          <w:sz w:val="28"/>
          <w:szCs w:val="28"/>
        </w:rPr>
        <w:tab/>
      </w:r>
      <w:r>
        <w:rPr>
          <w:rFonts w:hint="default" w:ascii="Times New Roman" w:hAnsi="Times New Roman" w:eastAsia="仿宋_GB2312" w:cs="Times New Roman"/>
          <w:b/>
          <w:bCs w:val="0"/>
          <w:sz w:val="28"/>
          <w:szCs w:val="28"/>
        </w:rPr>
        <w:fldChar w:fldCharType="begin"/>
      </w:r>
      <w:r>
        <w:rPr>
          <w:rFonts w:hint="default" w:ascii="Times New Roman" w:hAnsi="Times New Roman" w:eastAsia="仿宋_GB2312" w:cs="Times New Roman"/>
          <w:b/>
          <w:bCs w:val="0"/>
          <w:sz w:val="28"/>
          <w:szCs w:val="28"/>
        </w:rPr>
        <w:instrText xml:space="preserve"> PAGEREF _Toc27046 \h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18</w:t>
      </w:r>
      <w:r>
        <w:rPr>
          <w:rFonts w:hint="default" w:ascii="Times New Roman" w:hAnsi="Times New Roman" w:eastAsia="仿宋_GB2312" w:cs="Times New Roman"/>
          <w:b/>
          <w:bCs w:val="0"/>
          <w:sz w:val="28"/>
          <w:szCs w:val="28"/>
        </w:rPr>
        <w:fldChar w:fldCharType="end"/>
      </w:r>
      <w:r>
        <w:rPr>
          <w:rFonts w:hint="default" w:ascii="Times New Roman" w:hAnsi="Times New Roman" w:eastAsia="仿宋_GB2312" w:cs="Times New Roman"/>
          <w:b/>
          <w:bCs w:val="0"/>
          <w:color w:val="FF0000"/>
          <w:sz w:val="28"/>
          <w:szCs w:val="28"/>
        </w:rPr>
        <w:fldChar w:fldCharType="end"/>
      </w:r>
    </w:p>
    <w:p w14:paraId="25D72ECA">
      <w:pPr>
        <w:pStyle w:val="14"/>
        <w:tabs>
          <w:tab w:val="right" w:leader="dot" w:pos="8306"/>
          <w:tab w:val="clear" w:pos="8296"/>
        </w:tabs>
      </w:pPr>
      <w:r>
        <w:rPr>
          <w:rFonts w:hint="default" w:ascii="Times New Roman" w:hAnsi="Times New Roman" w:eastAsia="仿宋_GB2312" w:cs="Times New Roman"/>
          <w:b/>
          <w:bCs w:val="0"/>
          <w:color w:val="FF0000"/>
          <w:sz w:val="28"/>
          <w:szCs w:val="28"/>
        </w:rPr>
        <w:fldChar w:fldCharType="begin"/>
      </w:r>
      <w:r>
        <w:rPr>
          <w:rFonts w:hint="default" w:ascii="Times New Roman" w:hAnsi="Times New Roman" w:eastAsia="仿宋_GB2312" w:cs="Times New Roman"/>
          <w:b/>
          <w:bCs w:val="0"/>
          <w:sz w:val="28"/>
          <w:szCs w:val="28"/>
        </w:rPr>
        <w:instrText xml:space="preserve"> HYPERLINK \l _Toc965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9 联系方式</w:t>
      </w:r>
      <w:r>
        <w:rPr>
          <w:rFonts w:hint="default" w:ascii="Times New Roman" w:hAnsi="Times New Roman" w:eastAsia="仿宋_GB2312" w:cs="Times New Roman"/>
          <w:b/>
          <w:bCs w:val="0"/>
          <w:sz w:val="28"/>
          <w:szCs w:val="28"/>
        </w:rPr>
        <w:tab/>
      </w:r>
      <w:r>
        <w:rPr>
          <w:rFonts w:hint="default" w:ascii="Times New Roman" w:hAnsi="Times New Roman" w:eastAsia="仿宋_GB2312" w:cs="Times New Roman"/>
          <w:b/>
          <w:bCs w:val="0"/>
          <w:sz w:val="28"/>
          <w:szCs w:val="28"/>
        </w:rPr>
        <w:fldChar w:fldCharType="begin"/>
      </w:r>
      <w:r>
        <w:rPr>
          <w:rFonts w:hint="default" w:ascii="Times New Roman" w:hAnsi="Times New Roman" w:eastAsia="仿宋_GB2312" w:cs="Times New Roman"/>
          <w:b/>
          <w:bCs w:val="0"/>
          <w:sz w:val="28"/>
          <w:szCs w:val="28"/>
        </w:rPr>
        <w:instrText xml:space="preserve"> PAGEREF _Toc965 \h </w:instrText>
      </w:r>
      <w:r>
        <w:rPr>
          <w:rFonts w:hint="default" w:ascii="Times New Roman" w:hAnsi="Times New Roman" w:eastAsia="仿宋_GB2312" w:cs="Times New Roman"/>
          <w:b/>
          <w:bCs w:val="0"/>
          <w:sz w:val="28"/>
          <w:szCs w:val="28"/>
        </w:rPr>
        <w:fldChar w:fldCharType="separate"/>
      </w:r>
      <w:r>
        <w:rPr>
          <w:rFonts w:hint="default" w:ascii="Times New Roman" w:hAnsi="Times New Roman" w:eastAsia="仿宋_GB2312" w:cs="Times New Roman"/>
          <w:b/>
          <w:bCs w:val="0"/>
          <w:sz w:val="28"/>
          <w:szCs w:val="28"/>
        </w:rPr>
        <w:t>19</w:t>
      </w:r>
      <w:r>
        <w:rPr>
          <w:rFonts w:hint="default" w:ascii="Times New Roman" w:hAnsi="Times New Roman" w:eastAsia="仿宋_GB2312" w:cs="Times New Roman"/>
          <w:b/>
          <w:bCs w:val="0"/>
          <w:sz w:val="28"/>
          <w:szCs w:val="28"/>
        </w:rPr>
        <w:fldChar w:fldCharType="end"/>
      </w:r>
      <w:r>
        <w:rPr>
          <w:rFonts w:hint="default" w:ascii="Times New Roman" w:hAnsi="Times New Roman" w:eastAsia="仿宋_GB2312" w:cs="Times New Roman"/>
          <w:b/>
          <w:bCs w:val="0"/>
          <w:color w:val="FF0000"/>
          <w:sz w:val="28"/>
          <w:szCs w:val="28"/>
        </w:rPr>
        <w:fldChar w:fldCharType="end"/>
      </w:r>
    </w:p>
    <w:p w14:paraId="7A3AAAC7">
      <w:pPr>
        <w:spacing w:line="500" w:lineRule="exact"/>
        <w:rPr>
          <w:rFonts w:eastAsia="仿宋_GB2312"/>
          <w:color w:val="FF0000"/>
          <w:sz w:val="24"/>
        </w:rPr>
      </w:pPr>
      <w:r>
        <w:rPr>
          <w:rFonts w:eastAsia="仿宋_GB2312"/>
          <w:bCs/>
          <w:color w:val="FF0000"/>
        </w:rPr>
        <w:fldChar w:fldCharType="end"/>
      </w:r>
    </w:p>
    <w:p w14:paraId="3FC7D10C">
      <w:pPr>
        <w:spacing w:line="360" w:lineRule="auto"/>
        <w:ind w:firstLine="640" w:firstLineChars="200"/>
        <w:rPr>
          <w:color w:val="FF0000"/>
          <w:sz w:val="32"/>
          <w:szCs w:val="32"/>
        </w:rPr>
        <w:sectPr>
          <w:footerReference r:id="rId3" w:type="default"/>
          <w:pgSz w:w="11906" w:h="16838"/>
          <w:pgMar w:top="1440" w:right="1800" w:bottom="1440" w:left="1800" w:header="851" w:footer="992" w:gutter="0"/>
          <w:pgNumType w:fmt="upperRoman" w:start="1"/>
          <w:cols w:space="425" w:num="1"/>
          <w:titlePg/>
          <w:docGrid w:type="lines" w:linePitch="312" w:charSpace="0"/>
        </w:sectPr>
      </w:pPr>
    </w:p>
    <w:bookmarkEnd w:id="1"/>
    <w:p w14:paraId="6FAB8ACE">
      <w:pPr>
        <w:pStyle w:val="2"/>
      </w:pPr>
      <w:bookmarkStart w:id="6" w:name="_Toc691"/>
      <w:r>
        <w:t>1 任务由来及规划</w:t>
      </w:r>
      <w:bookmarkEnd w:id="2"/>
      <w:bookmarkEnd w:id="3"/>
      <w:bookmarkEnd w:id="4"/>
      <w:bookmarkEnd w:id="5"/>
      <w:r>
        <w:t>概述</w:t>
      </w:r>
      <w:bookmarkEnd w:id="6"/>
    </w:p>
    <w:p w14:paraId="22F8EBB0">
      <w:pPr>
        <w:pStyle w:val="3"/>
      </w:pPr>
      <w:bookmarkStart w:id="7" w:name="_Toc1427"/>
      <w:r>
        <w:t>1.1 任务由来</w:t>
      </w:r>
      <w:bookmarkEnd w:id="7"/>
    </w:p>
    <w:p w14:paraId="2648BDCD">
      <w:pPr>
        <w:adjustRightInd w:val="0"/>
        <w:snapToGrid w:val="0"/>
        <w:spacing w:line="500" w:lineRule="exact"/>
        <w:ind w:firstLine="560" w:firstLineChars="200"/>
        <w:rPr>
          <w:rFonts w:hint="eastAsia" w:eastAsia="仿宋_GB2312"/>
          <w:bCs/>
          <w:sz w:val="28"/>
          <w:szCs w:val="28"/>
        </w:rPr>
      </w:pPr>
      <w:bookmarkStart w:id="8" w:name="_Hlk55462185"/>
      <w:r>
        <w:rPr>
          <w:rFonts w:hint="eastAsia" w:eastAsia="仿宋_GB2312"/>
          <w:bCs/>
          <w:sz w:val="28"/>
          <w:szCs w:val="28"/>
        </w:rPr>
        <w:t>启东经济开发区中心区成立于1992年，原为启东吕四港港口开发区南区，1993年被江苏省人民政府设立为省级开发区（苏政复〔1993〕55号），2003年经省政府同意更名为江苏省启东经济开发区（苏政复〔2003〕17号）。2007年，开发区开展规划环评工作，并获得原省环保厅的批复（苏环管〔2007〕37号），包括启东经济开发区中心区和启东经济开发区滨海工业集中区两个园区。2015年10月，启东市政府批复同意启东经济开发区控制性详细规划，开发区面积确定为21.64平方公里（启政复〔2015〕70号）。2020年，江苏省启东经济开发区管理委员会组织编制了《江苏省启东经济开发区开发建设规划（2020-2030）》，并同步开展规划环评工作，同年12月取得省生态环境厅的审查意见（苏环审〔2020〕44号）。</w:t>
      </w:r>
    </w:p>
    <w:p w14:paraId="550424F4">
      <w:pPr>
        <w:adjustRightInd w:val="0"/>
        <w:snapToGrid w:val="0"/>
        <w:spacing w:line="500" w:lineRule="exact"/>
        <w:ind w:firstLine="560" w:firstLineChars="200"/>
        <w:rPr>
          <w:rFonts w:hint="eastAsia" w:eastAsia="仿宋_GB2312"/>
          <w:bCs/>
          <w:sz w:val="28"/>
          <w:szCs w:val="28"/>
        </w:rPr>
      </w:pPr>
      <w:r>
        <w:rPr>
          <w:rFonts w:hint="eastAsia" w:eastAsia="仿宋_GB2312"/>
          <w:bCs/>
          <w:sz w:val="28"/>
          <w:szCs w:val="28"/>
        </w:rPr>
        <w:t>近年来，开发区牢牢锁定“科技创新第一高地”目标定位，充分发挥万里长江入海口、万亿都市浦东北、高铁江北第一站三大区位优势，坚决扛起长江口产业创新绿色发展协同区北岸先行区建设的首位担当，努力实现经济社会的高质量发展。</w:t>
      </w:r>
    </w:p>
    <w:p w14:paraId="6D9303DB">
      <w:pPr>
        <w:adjustRightInd w:val="0"/>
        <w:snapToGrid w:val="0"/>
        <w:spacing w:line="500" w:lineRule="exact"/>
        <w:ind w:firstLine="560" w:firstLineChars="200"/>
        <w:rPr>
          <w:rFonts w:hint="eastAsia" w:eastAsia="仿宋_GB2312"/>
          <w:bCs/>
          <w:sz w:val="28"/>
          <w:szCs w:val="28"/>
        </w:rPr>
      </w:pPr>
      <w:r>
        <w:rPr>
          <w:rFonts w:hint="eastAsia" w:eastAsia="仿宋_GB2312"/>
          <w:bCs/>
          <w:sz w:val="28"/>
          <w:szCs w:val="28"/>
        </w:rPr>
        <w:t>为进一步推进长江口产业创新协同区北岸先行区建设，充分发挥土地资源优势，重点承接高端装备、电子信息等先进制造业、科技研发等生产型服务业，推动园区产业高质量发展，根据《启东市国土空间总体规划（2021-2035年）》，2025年10月设立启东经济开发区新质产业集中区（以下简称“集中区”），作为开发区的拓展范围进行管理。为做好顶层设计，科学合理地指导集中区建设，结合镇域规划，立足集中区的良好基础，江苏省启东经济开发区管理委员会组织编制了《启东经济开发区新质产业集中区开发建设规划（2025-2035）》，规划总面积为2.50平方公里，四至范围为东至小效河，南至明月路、迎春路，西至西苑路，北至世纪大道南侧横河，重点发展电子半导体、装备制造、新能源及生命健康等产业。</w:t>
      </w:r>
    </w:p>
    <w:p w14:paraId="0827D2A4">
      <w:pPr>
        <w:adjustRightInd w:val="0"/>
        <w:snapToGrid w:val="0"/>
        <w:spacing w:line="500" w:lineRule="exact"/>
        <w:ind w:firstLine="560" w:firstLineChars="200"/>
        <w:rPr>
          <w:rFonts w:eastAsia="仿宋_GB2312"/>
          <w:bCs/>
          <w:sz w:val="28"/>
          <w:szCs w:val="28"/>
        </w:rPr>
      </w:pPr>
      <w:r>
        <w:rPr>
          <w:rFonts w:hint="eastAsia" w:eastAsia="仿宋_GB2312"/>
          <w:bCs/>
          <w:sz w:val="28"/>
          <w:szCs w:val="28"/>
        </w:rPr>
        <w:t>根据《中华人民共和国环境影响评价法》、《规划环境影响评价条例》、《关于进一步加强产业园区规划环境影响评价工作的意见》（环环评〔2020〕65号）及《省生态环境厅关于进一步加强产业园区规划环境影响评价的通知》（苏环办〔2020〕224号），江苏省启东经济开发区管理委员会委托南京大学环境规划设计研究院集团股份公司开展启东经济开发区新质产业集中区开发建设规划（2025-2035）的环境影响评价工作。我单位在接受委托后，对集中区进行了现场踏勘，调查并收集有关该规划的资料，在此基础上，编制了《启东经济开发区新质产业集中区开发建设规划（2025-2035）环境影响报告书》。</w:t>
      </w:r>
    </w:p>
    <w:bookmarkEnd w:id="8"/>
    <w:p w14:paraId="4CDA75AA">
      <w:pPr>
        <w:pStyle w:val="3"/>
      </w:pPr>
      <w:bookmarkStart w:id="9" w:name="_Toc27406"/>
      <w:r>
        <w:t>1.2 规划范围和期限</w:t>
      </w:r>
      <w:bookmarkEnd w:id="9"/>
    </w:p>
    <w:p w14:paraId="78DCAD3A">
      <w:pPr>
        <w:adjustRightInd w:val="0"/>
        <w:snapToGrid w:val="0"/>
        <w:spacing w:line="500" w:lineRule="exact"/>
        <w:ind w:firstLine="560" w:firstLineChars="200"/>
        <w:rPr>
          <w:rFonts w:eastAsia="仿宋_GB2312"/>
          <w:bCs/>
          <w:sz w:val="28"/>
          <w:szCs w:val="28"/>
        </w:rPr>
      </w:pPr>
      <w:r>
        <w:rPr>
          <w:rFonts w:hint="eastAsia" w:eastAsia="仿宋_GB2312"/>
          <w:bCs/>
          <w:sz w:val="28"/>
          <w:szCs w:val="28"/>
          <w:lang w:val="en-US" w:eastAsia="zh-CN"/>
        </w:rPr>
        <w:t>集中区</w:t>
      </w:r>
      <w:r>
        <w:rPr>
          <w:rFonts w:eastAsia="仿宋_GB2312"/>
          <w:bCs/>
          <w:sz w:val="28"/>
          <w:szCs w:val="28"/>
        </w:rPr>
        <w:t>规划总面积约为</w:t>
      </w:r>
      <w:r>
        <w:rPr>
          <w:rFonts w:hint="eastAsia" w:eastAsia="仿宋_GB2312"/>
          <w:bCs/>
          <w:sz w:val="28"/>
          <w:szCs w:val="28"/>
          <w:lang w:val="en-US" w:eastAsia="zh-CN"/>
        </w:rPr>
        <w:t>2.50</w:t>
      </w:r>
      <w:r>
        <w:rPr>
          <w:rFonts w:eastAsia="仿宋_GB2312"/>
          <w:bCs/>
          <w:sz w:val="28"/>
          <w:szCs w:val="28"/>
        </w:rPr>
        <w:t>平方公里。四至范围为：</w:t>
      </w:r>
      <w:r>
        <w:rPr>
          <w:rFonts w:hint="eastAsia" w:eastAsia="仿宋_GB2312"/>
          <w:bCs/>
          <w:sz w:val="28"/>
          <w:szCs w:val="28"/>
        </w:rPr>
        <w:t>东至小效河，南至明月路、迎春路，西至西苑路，北至世纪大道南侧横河</w:t>
      </w:r>
      <w:r>
        <w:rPr>
          <w:rFonts w:eastAsia="仿宋_GB2312"/>
          <w:bCs/>
          <w:sz w:val="28"/>
          <w:szCs w:val="28"/>
        </w:rPr>
        <w:t>。</w:t>
      </w:r>
    </w:p>
    <w:p w14:paraId="73E0DC03">
      <w:pPr>
        <w:adjustRightInd w:val="0"/>
        <w:snapToGrid w:val="0"/>
        <w:spacing w:line="500" w:lineRule="exact"/>
        <w:ind w:firstLine="560" w:firstLineChars="200"/>
        <w:rPr>
          <w:rFonts w:eastAsia="仿宋_GB2312"/>
          <w:bCs/>
          <w:sz w:val="28"/>
          <w:szCs w:val="28"/>
        </w:rPr>
      </w:pPr>
      <w:r>
        <w:rPr>
          <w:rFonts w:eastAsia="仿宋_GB2312"/>
          <w:bCs/>
          <w:sz w:val="28"/>
          <w:szCs w:val="28"/>
        </w:rPr>
        <w:t>本次规划期限为202</w:t>
      </w:r>
      <w:r>
        <w:rPr>
          <w:rFonts w:hint="eastAsia" w:eastAsia="仿宋_GB2312"/>
          <w:bCs/>
          <w:sz w:val="28"/>
          <w:szCs w:val="28"/>
          <w:lang w:val="en-US" w:eastAsia="zh-CN"/>
        </w:rPr>
        <w:t>5</w:t>
      </w:r>
      <w:r>
        <w:rPr>
          <w:rFonts w:eastAsia="仿宋_GB2312"/>
          <w:bCs/>
          <w:sz w:val="28"/>
          <w:szCs w:val="28"/>
        </w:rPr>
        <w:t>-2035年，基准年为202</w:t>
      </w:r>
      <w:r>
        <w:rPr>
          <w:rFonts w:hint="eastAsia" w:eastAsia="仿宋_GB2312"/>
          <w:bCs/>
          <w:sz w:val="28"/>
          <w:szCs w:val="28"/>
          <w:lang w:val="en-US" w:eastAsia="zh-CN"/>
        </w:rPr>
        <w:t>4</w:t>
      </w:r>
      <w:r>
        <w:rPr>
          <w:rFonts w:eastAsia="仿宋_GB2312"/>
          <w:bCs/>
          <w:sz w:val="28"/>
          <w:szCs w:val="28"/>
        </w:rPr>
        <w:t>年。</w:t>
      </w:r>
    </w:p>
    <w:p w14:paraId="14655674">
      <w:pPr>
        <w:pStyle w:val="3"/>
      </w:pPr>
      <w:bookmarkStart w:id="10" w:name="_Toc17274"/>
      <w:r>
        <w:t>1.3 发展目标</w:t>
      </w:r>
      <w:bookmarkEnd w:id="10"/>
    </w:p>
    <w:p w14:paraId="6315904D">
      <w:pPr>
        <w:spacing w:line="500" w:lineRule="exact"/>
        <w:ind w:firstLine="561"/>
        <w:rPr>
          <w:rFonts w:hint="eastAsia" w:eastAsia="仿宋_GB2312"/>
          <w:bCs/>
          <w:sz w:val="28"/>
          <w:szCs w:val="28"/>
        </w:rPr>
      </w:pPr>
      <w:r>
        <w:rPr>
          <w:rFonts w:hint="eastAsia" w:eastAsia="仿宋_GB2312"/>
          <w:bCs/>
          <w:sz w:val="28"/>
          <w:szCs w:val="28"/>
        </w:rPr>
        <w:t>启东经济开发区新质产业集中区积极探索科技创新引领高质量发展的战略方针，延长产业链，提高产品附加值，实现启东经济开发区新质产业集中区经济发展提质增效，综合实力大幅提升。</w:t>
      </w:r>
    </w:p>
    <w:p w14:paraId="512D3644">
      <w:pPr>
        <w:spacing w:line="500" w:lineRule="exact"/>
        <w:ind w:firstLine="561"/>
        <w:rPr>
          <w:rFonts w:eastAsia="仿宋_GB2312"/>
          <w:bCs/>
          <w:sz w:val="28"/>
          <w:szCs w:val="28"/>
        </w:rPr>
      </w:pPr>
      <w:r>
        <w:rPr>
          <w:rFonts w:hint="eastAsia" w:eastAsia="仿宋_GB2312"/>
          <w:bCs/>
          <w:sz w:val="28"/>
          <w:szCs w:val="28"/>
        </w:rPr>
        <w:t>到203</w:t>
      </w:r>
      <w:r>
        <w:rPr>
          <w:rFonts w:hint="eastAsia" w:eastAsia="仿宋_GB2312"/>
          <w:bCs/>
          <w:sz w:val="28"/>
          <w:szCs w:val="28"/>
          <w:lang w:val="en-US" w:eastAsia="zh-CN"/>
        </w:rPr>
        <w:t>5</w:t>
      </w:r>
      <w:r>
        <w:rPr>
          <w:rFonts w:hint="eastAsia" w:eastAsia="仿宋_GB2312"/>
          <w:bCs/>
          <w:sz w:val="28"/>
          <w:szCs w:val="28"/>
        </w:rPr>
        <w:t>年，初步实现以电子半导体、装备制造、新能源及生命健康为主导的产业体系，提升区域竞争力，大力发展高端制造加工项目，吸引优质产业落户园区，发展关联产业，链接产业源头，联通产业销售端，延长产业链，打造产业集群，把集中区建造成产业集中、规模庞大、科技程度高、发展专业化、结构合理化的现代工业示范园区</w:t>
      </w:r>
      <w:r>
        <w:rPr>
          <w:rFonts w:eastAsia="仿宋_GB2312"/>
          <w:bCs/>
          <w:sz w:val="28"/>
          <w:szCs w:val="28"/>
        </w:rPr>
        <w:t>。</w:t>
      </w:r>
    </w:p>
    <w:p w14:paraId="6C49CE88">
      <w:pPr>
        <w:pStyle w:val="3"/>
      </w:pPr>
      <w:bookmarkStart w:id="11" w:name="_Toc26121"/>
      <w:r>
        <w:t>1.4 产业定位</w:t>
      </w:r>
      <w:bookmarkEnd w:id="11"/>
    </w:p>
    <w:p w14:paraId="00594424">
      <w:pPr>
        <w:spacing w:line="500" w:lineRule="exact"/>
        <w:ind w:firstLine="560" w:firstLineChars="200"/>
        <w:rPr>
          <w:rFonts w:eastAsia="仿宋_GB2312"/>
          <w:sz w:val="28"/>
          <w:szCs w:val="28"/>
          <w:lang w:val="zh-CN"/>
        </w:rPr>
      </w:pPr>
      <w:r>
        <w:rPr>
          <w:rFonts w:hint="eastAsia" w:eastAsia="仿宋_GB2312"/>
          <w:sz w:val="28"/>
          <w:szCs w:val="28"/>
          <w:lang w:val="zh-CN"/>
        </w:rPr>
        <w:t>新质产业集中区本轮规划主导产业方向为：电子半导体、装备制造、新能源及生命健康</w:t>
      </w:r>
      <w:r>
        <w:rPr>
          <w:rFonts w:eastAsia="仿宋_GB2312"/>
          <w:sz w:val="28"/>
          <w:szCs w:val="28"/>
          <w:lang w:val="zh-CN"/>
        </w:rPr>
        <w:t>。</w:t>
      </w:r>
    </w:p>
    <w:p w14:paraId="1C7752AB">
      <w:pPr>
        <w:pStyle w:val="3"/>
      </w:pPr>
      <w:bookmarkStart w:id="12" w:name="_Toc26514"/>
      <w:r>
        <w:t>1.5 基础设施规划</w:t>
      </w:r>
      <w:bookmarkEnd w:id="12"/>
    </w:p>
    <w:p w14:paraId="28AB21B8">
      <w:pPr>
        <w:pStyle w:val="5"/>
      </w:pPr>
      <w:r>
        <w:t>1.5.1 给水工程</w:t>
      </w:r>
    </w:p>
    <w:p w14:paraId="00CA6670">
      <w:pPr>
        <w:spacing w:line="500" w:lineRule="exact"/>
        <w:ind w:firstLine="560" w:firstLineChars="200"/>
        <w:rPr>
          <w:rFonts w:eastAsia="仿宋_GB2312"/>
          <w:sz w:val="28"/>
          <w:szCs w:val="28"/>
          <w:lang w:val="zh-CN"/>
        </w:rPr>
      </w:pPr>
      <w:r>
        <w:rPr>
          <w:rFonts w:hint="eastAsia" w:eastAsia="仿宋_GB2312"/>
          <w:sz w:val="28"/>
          <w:szCs w:val="28"/>
          <w:lang w:val="zh-CN"/>
        </w:rPr>
        <w:t>集中区采用区域供水（南通洪港水厂），长江为主水源，头兴港河为应急水源</w:t>
      </w:r>
      <w:r>
        <w:rPr>
          <w:rFonts w:eastAsia="仿宋_GB2312"/>
          <w:sz w:val="28"/>
          <w:szCs w:val="28"/>
          <w:lang w:val="zh-CN"/>
        </w:rPr>
        <w:t>。</w:t>
      </w:r>
    </w:p>
    <w:p w14:paraId="046EE2AF">
      <w:pPr>
        <w:spacing w:line="500" w:lineRule="exact"/>
        <w:ind w:firstLine="560" w:firstLineChars="200"/>
        <w:rPr>
          <w:rFonts w:eastAsia="仿宋_GB2312"/>
          <w:sz w:val="28"/>
          <w:szCs w:val="28"/>
          <w:lang w:val="zh-CN"/>
        </w:rPr>
      </w:pPr>
      <w:r>
        <w:rPr>
          <w:rFonts w:hint="eastAsia" w:eastAsia="仿宋_GB2312"/>
          <w:sz w:val="28"/>
          <w:szCs w:val="28"/>
          <w:lang w:val="zh-CN"/>
        </w:rPr>
        <w:t>给水管网采用环状布置方式，由沿江公路引入给水干管，管径为DN200，集中区沿张江路、海洪路、华石路等敷设次干管，管径为DN300~800</w:t>
      </w:r>
      <w:r>
        <w:rPr>
          <w:rFonts w:eastAsia="仿宋_GB2312"/>
          <w:sz w:val="28"/>
          <w:szCs w:val="28"/>
          <w:lang w:val="zh-CN"/>
        </w:rPr>
        <w:t>。</w:t>
      </w:r>
    </w:p>
    <w:p w14:paraId="172492BE">
      <w:pPr>
        <w:pStyle w:val="5"/>
      </w:pPr>
      <w:r>
        <w:t>1.5.2 排水工程</w:t>
      </w:r>
    </w:p>
    <w:p w14:paraId="427B1783">
      <w:pPr>
        <w:spacing w:line="500" w:lineRule="exact"/>
        <w:ind w:firstLine="562" w:firstLineChars="200"/>
        <w:rPr>
          <w:rFonts w:eastAsia="仿宋_GB2312"/>
          <w:b/>
          <w:bCs/>
          <w:sz w:val="28"/>
          <w:szCs w:val="28"/>
          <w:lang w:val="zh-CN"/>
        </w:rPr>
      </w:pPr>
      <w:r>
        <w:rPr>
          <w:rFonts w:eastAsia="仿宋_GB2312"/>
          <w:b/>
          <w:bCs/>
          <w:sz w:val="28"/>
          <w:szCs w:val="28"/>
          <w:lang w:val="zh-CN"/>
        </w:rPr>
        <w:t>（1）雨水工程规划</w:t>
      </w:r>
    </w:p>
    <w:p w14:paraId="3363BEFB">
      <w:pPr>
        <w:spacing w:line="500" w:lineRule="exact"/>
        <w:ind w:firstLine="560" w:firstLineChars="200"/>
        <w:rPr>
          <w:rFonts w:eastAsia="仿宋_GB2312"/>
          <w:sz w:val="28"/>
          <w:szCs w:val="28"/>
          <w:lang w:val="zh-CN"/>
        </w:rPr>
      </w:pPr>
      <w:bookmarkStart w:id="13" w:name="_Hlk117355355"/>
      <w:r>
        <w:rPr>
          <w:rFonts w:hint="eastAsia" w:eastAsia="仿宋_GB2312"/>
          <w:sz w:val="28"/>
          <w:szCs w:val="28"/>
          <w:lang w:val="en-US" w:eastAsia="zh-CN"/>
        </w:rPr>
        <w:t>集中区</w:t>
      </w:r>
      <w:r>
        <w:rPr>
          <w:rFonts w:hint="eastAsia" w:eastAsia="仿宋_GB2312"/>
          <w:sz w:val="28"/>
          <w:szCs w:val="28"/>
          <w:lang w:val="zh-CN"/>
        </w:rPr>
        <w:t>排水体制为雨污分流制</w:t>
      </w:r>
      <w:r>
        <w:rPr>
          <w:rFonts w:eastAsia="仿宋_GB2312"/>
          <w:sz w:val="28"/>
          <w:szCs w:val="28"/>
          <w:lang w:val="zh-CN"/>
        </w:rPr>
        <w:t>。</w:t>
      </w:r>
    </w:p>
    <w:p w14:paraId="30FF59C0">
      <w:pPr>
        <w:spacing w:line="500" w:lineRule="exact"/>
        <w:ind w:firstLine="560" w:firstLineChars="200"/>
        <w:rPr>
          <w:rFonts w:eastAsia="仿宋_GB2312"/>
          <w:sz w:val="28"/>
          <w:szCs w:val="28"/>
          <w:lang w:val="zh-CN"/>
        </w:rPr>
      </w:pPr>
      <w:r>
        <w:rPr>
          <w:rFonts w:hint="eastAsia" w:eastAsia="仿宋_GB2312"/>
          <w:sz w:val="28"/>
          <w:szCs w:val="28"/>
          <w:lang w:val="zh-CN"/>
        </w:rPr>
        <w:t>雨水采用分散就近排放的原则，高地自排，低地机排。保留现状道路下雨水管道，在各主要道路下规划敷设DN600-DN1800雨水管，区内雨水经市政管网统一收集后，分别就近排入附近河流</w:t>
      </w:r>
      <w:r>
        <w:rPr>
          <w:rFonts w:eastAsia="仿宋_GB2312"/>
          <w:sz w:val="28"/>
          <w:szCs w:val="28"/>
          <w:lang w:val="zh-CN"/>
        </w:rPr>
        <w:t>。</w:t>
      </w:r>
      <w:bookmarkEnd w:id="13"/>
    </w:p>
    <w:p w14:paraId="064FEEAB">
      <w:pPr>
        <w:spacing w:line="500" w:lineRule="exact"/>
        <w:ind w:firstLine="562" w:firstLineChars="200"/>
        <w:rPr>
          <w:rFonts w:eastAsia="仿宋_GB2312"/>
          <w:b/>
          <w:bCs/>
          <w:sz w:val="28"/>
          <w:szCs w:val="28"/>
          <w:lang w:val="zh-CN"/>
        </w:rPr>
      </w:pPr>
      <w:r>
        <w:rPr>
          <w:rFonts w:eastAsia="仿宋_GB2312"/>
          <w:b/>
          <w:bCs/>
          <w:sz w:val="28"/>
          <w:szCs w:val="28"/>
          <w:lang w:val="zh-CN"/>
        </w:rPr>
        <w:t>（2）污水工程规划</w:t>
      </w:r>
    </w:p>
    <w:p w14:paraId="64DB3856">
      <w:pPr>
        <w:spacing w:line="500" w:lineRule="exact"/>
        <w:ind w:firstLine="560" w:firstLineChars="200"/>
        <w:rPr>
          <w:rFonts w:eastAsia="仿宋_GB2312"/>
          <w:sz w:val="28"/>
          <w:szCs w:val="28"/>
          <w:lang w:val="zh-CN"/>
        </w:rPr>
      </w:pPr>
      <w:r>
        <w:rPr>
          <w:rFonts w:hint="eastAsia" w:eastAsia="仿宋_GB2312"/>
          <w:sz w:val="28"/>
          <w:szCs w:val="28"/>
          <w:lang w:val="zh-CN"/>
        </w:rPr>
        <w:t>集中区</w:t>
      </w:r>
      <w:r>
        <w:rPr>
          <w:rFonts w:hint="eastAsia" w:eastAsia="仿宋_GB2312"/>
          <w:sz w:val="28"/>
          <w:szCs w:val="28"/>
          <w:lang w:val="en-US" w:eastAsia="zh-CN"/>
        </w:rPr>
        <w:t>废水</w:t>
      </w:r>
      <w:r>
        <w:rPr>
          <w:rFonts w:hint="eastAsia" w:eastAsia="仿宋_GB2312"/>
          <w:sz w:val="28"/>
          <w:szCs w:val="28"/>
          <w:lang w:val="zh-CN"/>
        </w:rPr>
        <w:t>依托区外的启东市城市水处理有限公司接管处理，</w:t>
      </w:r>
      <w:r>
        <w:rPr>
          <w:rFonts w:hint="eastAsia" w:eastAsia="仿宋_GB2312"/>
          <w:sz w:val="28"/>
          <w:szCs w:val="28"/>
          <w:lang w:val="en-US" w:eastAsia="zh-CN"/>
        </w:rPr>
        <w:t>规划建设</w:t>
      </w:r>
      <w:r>
        <w:rPr>
          <w:rFonts w:hint="eastAsia" w:eastAsia="仿宋_GB2312"/>
          <w:sz w:val="28"/>
          <w:szCs w:val="28"/>
          <w:lang w:val="zh-CN"/>
        </w:rPr>
        <w:t>工业污水预处理单元，</w:t>
      </w:r>
      <w:r>
        <w:rPr>
          <w:rFonts w:hint="eastAsia" w:eastAsia="仿宋_GB2312"/>
          <w:sz w:val="28"/>
          <w:szCs w:val="28"/>
          <w:lang w:val="en-US" w:eastAsia="zh-CN"/>
        </w:rPr>
        <w:t>服务于</w:t>
      </w:r>
      <w:r>
        <w:rPr>
          <w:rFonts w:hint="eastAsia" w:eastAsia="仿宋_GB2312"/>
          <w:sz w:val="28"/>
          <w:szCs w:val="28"/>
          <w:lang w:val="zh-CN"/>
        </w:rPr>
        <w:t>排放含重金属、难生化降解废水、含氟废水等的企业，出水特征污染物浓度执行《城镇污水处理厂污染物排放标准》（DB32/4440-2022）B标准及相应行业直接排放标准中最严标准，再与生活污水及其他工业废水混合进入启东市城市水处理有限公司</w:t>
      </w:r>
      <w:r>
        <w:rPr>
          <w:rFonts w:eastAsia="仿宋_GB2312"/>
          <w:sz w:val="28"/>
          <w:szCs w:val="28"/>
          <w:lang w:val="zh-CN"/>
        </w:rPr>
        <w:t>。</w:t>
      </w:r>
      <w:r>
        <w:rPr>
          <w:rFonts w:hint="eastAsia" w:eastAsia="仿宋_GB2312"/>
          <w:sz w:val="28"/>
          <w:szCs w:val="28"/>
          <w:lang w:val="zh-CN"/>
        </w:rPr>
        <w:t>启东市城市水处理有限公司</w:t>
      </w:r>
      <w:r>
        <w:rPr>
          <w:rFonts w:eastAsia="仿宋_GB2312"/>
          <w:sz w:val="28"/>
          <w:szCs w:val="28"/>
          <w:lang w:val="zh-CN"/>
        </w:rPr>
        <w:t>处理规模</w:t>
      </w:r>
      <w:r>
        <w:rPr>
          <w:rFonts w:hint="eastAsia" w:eastAsia="仿宋_GB2312"/>
          <w:sz w:val="28"/>
          <w:szCs w:val="28"/>
          <w:lang w:val="en-US" w:eastAsia="zh-CN"/>
        </w:rPr>
        <w:t>9</w:t>
      </w:r>
      <w:r>
        <w:rPr>
          <w:rFonts w:eastAsia="仿宋_GB2312"/>
          <w:sz w:val="28"/>
          <w:szCs w:val="28"/>
          <w:lang w:val="zh-CN"/>
        </w:rPr>
        <w:t>万m</w:t>
      </w:r>
      <w:r>
        <w:rPr>
          <w:rFonts w:eastAsia="仿宋_GB2312"/>
          <w:sz w:val="28"/>
          <w:szCs w:val="28"/>
          <w:vertAlign w:val="superscript"/>
          <w:lang w:val="zh-CN"/>
        </w:rPr>
        <w:t>3</w:t>
      </w:r>
      <w:r>
        <w:rPr>
          <w:rFonts w:eastAsia="仿宋_GB2312"/>
          <w:sz w:val="28"/>
          <w:szCs w:val="28"/>
          <w:lang w:val="zh-CN"/>
        </w:rPr>
        <w:t>/d（一期</w:t>
      </w:r>
      <w:r>
        <w:rPr>
          <w:rFonts w:hint="eastAsia" w:eastAsia="仿宋_GB2312"/>
          <w:sz w:val="28"/>
          <w:szCs w:val="28"/>
          <w:lang w:val="en-US" w:eastAsia="zh-CN"/>
        </w:rPr>
        <w:t>2.5</w:t>
      </w:r>
      <w:r>
        <w:rPr>
          <w:rFonts w:eastAsia="仿宋_GB2312"/>
          <w:sz w:val="28"/>
          <w:szCs w:val="28"/>
          <w:lang w:val="zh-CN"/>
        </w:rPr>
        <w:t>万m</w:t>
      </w:r>
      <w:r>
        <w:rPr>
          <w:rFonts w:eastAsia="仿宋_GB2312"/>
          <w:sz w:val="28"/>
          <w:szCs w:val="28"/>
          <w:vertAlign w:val="superscript"/>
          <w:lang w:val="zh-CN"/>
        </w:rPr>
        <w:t>3</w:t>
      </w:r>
      <w:r>
        <w:rPr>
          <w:rFonts w:eastAsia="仿宋_GB2312"/>
          <w:sz w:val="28"/>
          <w:szCs w:val="28"/>
          <w:lang w:val="zh-CN"/>
        </w:rPr>
        <w:t>/d，二期</w:t>
      </w:r>
      <w:r>
        <w:rPr>
          <w:rFonts w:hint="eastAsia" w:eastAsia="仿宋_GB2312"/>
          <w:sz w:val="28"/>
          <w:szCs w:val="28"/>
          <w:lang w:val="en-US" w:eastAsia="zh-CN"/>
        </w:rPr>
        <w:t>2.5</w:t>
      </w:r>
      <w:r>
        <w:rPr>
          <w:rFonts w:eastAsia="仿宋_GB2312"/>
          <w:sz w:val="28"/>
          <w:szCs w:val="28"/>
          <w:lang w:val="zh-CN"/>
        </w:rPr>
        <w:t>万m</w:t>
      </w:r>
      <w:r>
        <w:rPr>
          <w:rFonts w:eastAsia="仿宋_GB2312"/>
          <w:sz w:val="28"/>
          <w:szCs w:val="28"/>
          <w:vertAlign w:val="superscript"/>
          <w:lang w:val="zh-CN"/>
        </w:rPr>
        <w:t>3</w:t>
      </w:r>
      <w:r>
        <w:rPr>
          <w:rFonts w:eastAsia="仿宋_GB2312"/>
          <w:sz w:val="28"/>
          <w:szCs w:val="28"/>
          <w:lang w:val="zh-CN"/>
        </w:rPr>
        <w:t>/d，三期</w:t>
      </w:r>
      <w:r>
        <w:rPr>
          <w:rFonts w:hint="eastAsia" w:eastAsia="仿宋_GB2312"/>
          <w:sz w:val="28"/>
          <w:szCs w:val="28"/>
          <w:lang w:val="en-US" w:eastAsia="zh-CN"/>
        </w:rPr>
        <w:t>4</w:t>
      </w:r>
      <w:r>
        <w:rPr>
          <w:rFonts w:eastAsia="仿宋_GB2312"/>
          <w:sz w:val="28"/>
          <w:szCs w:val="28"/>
          <w:lang w:val="zh-CN"/>
        </w:rPr>
        <w:t>万m</w:t>
      </w:r>
      <w:r>
        <w:rPr>
          <w:rFonts w:eastAsia="仿宋_GB2312"/>
          <w:sz w:val="28"/>
          <w:szCs w:val="28"/>
          <w:vertAlign w:val="superscript"/>
          <w:lang w:val="zh-CN"/>
        </w:rPr>
        <w:t>3</w:t>
      </w:r>
      <w:r>
        <w:rPr>
          <w:rFonts w:eastAsia="仿宋_GB2312"/>
          <w:sz w:val="28"/>
          <w:szCs w:val="28"/>
          <w:lang w:val="zh-CN"/>
        </w:rPr>
        <w:t>/d），尾水达到《城镇污水处理厂污染物排放标准》（GB18918-2002）中一级A标准后</w:t>
      </w:r>
      <w:r>
        <w:rPr>
          <w:rFonts w:hint="eastAsia" w:eastAsia="仿宋_GB2312"/>
          <w:sz w:val="28"/>
          <w:szCs w:val="28"/>
          <w:lang w:val="en-US" w:eastAsia="zh-CN"/>
        </w:rPr>
        <w:t>经专管</w:t>
      </w:r>
      <w:r>
        <w:rPr>
          <w:rFonts w:eastAsia="仿宋_GB2312"/>
          <w:sz w:val="28"/>
          <w:szCs w:val="28"/>
          <w:lang w:val="zh-CN"/>
        </w:rPr>
        <w:t>汇入长江。2026年3月28日后尾水执行《城镇污水处理厂污染物排放标准》（DB32/4440-2022）表1</w:t>
      </w:r>
      <w:r>
        <w:rPr>
          <w:rFonts w:hint="eastAsia" w:eastAsia="仿宋_GB2312"/>
          <w:sz w:val="28"/>
          <w:szCs w:val="28"/>
          <w:lang w:val="en-US" w:eastAsia="zh-CN"/>
        </w:rPr>
        <w:t>B</w:t>
      </w:r>
      <w:r>
        <w:rPr>
          <w:rFonts w:eastAsia="仿宋_GB2312"/>
          <w:sz w:val="28"/>
          <w:szCs w:val="28"/>
          <w:lang w:val="zh-CN"/>
        </w:rPr>
        <w:t>标准。</w:t>
      </w:r>
    </w:p>
    <w:p w14:paraId="13971BC2">
      <w:pPr>
        <w:spacing w:line="500" w:lineRule="exact"/>
        <w:ind w:firstLine="560" w:firstLineChars="200"/>
        <w:rPr>
          <w:rFonts w:eastAsia="仿宋_GB2312"/>
          <w:sz w:val="28"/>
          <w:szCs w:val="28"/>
          <w:lang w:val="zh-CN"/>
        </w:rPr>
      </w:pPr>
      <w:r>
        <w:rPr>
          <w:rFonts w:hint="eastAsia" w:eastAsia="仿宋_GB2312"/>
          <w:sz w:val="28"/>
          <w:szCs w:val="28"/>
          <w:lang w:val="en-US" w:eastAsia="zh-CN"/>
        </w:rPr>
        <w:t>集中区</w:t>
      </w:r>
      <w:r>
        <w:rPr>
          <w:rFonts w:eastAsia="仿宋_GB2312"/>
          <w:sz w:val="28"/>
          <w:szCs w:val="28"/>
          <w:lang w:val="zh-CN"/>
        </w:rPr>
        <w:t>主干管</w:t>
      </w:r>
      <w:r>
        <w:rPr>
          <w:rFonts w:hint="eastAsia" w:eastAsia="仿宋_GB2312"/>
          <w:sz w:val="28"/>
          <w:szCs w:val="28"/>
          <w:lang w:val="zh-CN"/>
        </w:rPr>
        <w:t>主要敷设在海洪路、引河北路、引河南路、迎春路，管径DN200~600。</w:t>
      </w:r>
    </w:p>
    <w:p w14:paraId="5C6E802B">
      <w:pPr>
        <w:pStyle w:val="5"/>
      </w:pPr>
      <w:r>
        <w:t>1.5.3 供电工程</w:t>
      </w:r>
    </w:p>
    <w:p w14:paraId="6B591BFF">
      <w:pPr>
        <w:spacing w:line="500" w:lineRule="exact"/>
        <w:ind w:firstLine="560" w:firstLineChars="200"/>
        <w:rPr>
          <w:rFonts w:eastAsia="仿宋_GB2312"/>
          <w:sz w:val="28"/>
          <w:szCs w:val="28"/>
        </w:rPr>
      </w:pPr>
      <w:r>
        <w:rPr>
          <w:rFonts w:hint="eastAsia" w:eastAsia="仿宋_GB2312"/>
          <w:sz w:val="28"/>
          <w:szCs w:val="28"/>
        </w:rPr>
        <w:t>集中区规划保留现状220KV红阳港变，远景计划进行变电站整体改造，规划主变容量4×180MVA，220kV变电容量基本满足规划区内远景用电负荷需求。同时规划新建1座110KV城区变，位于林洋路和钱塘江路交叉口西南角，主变容量3×50MVA</w:t>
      </w:r>
      <w:r>
        <w:rPr>
          <w:rFonts w:eastAsia="仿宋_GB2312"/>
          <w:sz w:val="28"/>
          <w:szCs w:val="28"/>
        </w:rPr>
        <w:t>。</w:t>
      </w:r>
      <w:r>
        <w:rPr>
          <w:rFonts w:hint="eastAsia" w:eastAsia="仿宋_GB2312"/>
          <w:sz w:val="28"/>
          <w:szCs w:val="28"/>
        </w:rPr>
        <w:t>以上供电设施能够满足集中区规划需求。</w:t>
      </w:r>
    </w:p>
    <w:p w14:paraId="756880D4">
      <w:pPr>
        <w:pStyle w:val="5"/>
      </w:pPr>
      <w:r>
        <w:t>1.5.4 燃气工程</w:t>
      </w:r>
    </w:p>
    <w:p w14:paraId="3DD1E99D">
      <w:pPr>
        <w:spacing w:line="500" w:lineRule="exact"/>
        <w:ind w:firstLine="560" w:firstLineChars="200"/>
        <w:rPr>
          <w:rFonts w:eastAsia="仿宋_GB2312"/>
          <w:sz w:val="28"/>
          <w:szCs w:val="28"/>
        </w:rPr>
      </w:pPr>
      <w:r>
        <w:rPr>
          <w:rFonts w:hint="eastAsia" w:eastAsia="仿宋_GB2312"/>
          <w:sz w:val="28"/>
          <w:szCs w:val="28"/>
          <w:lang w:val="en-US" w:eastAsia="zh-CN"/>
        </w:rPr>
        <w:t>集中区</w:t>
      </w:r>
      <w:r>
        <w:rPr>
          <w:rFonts w:hint="eastAsia" w:eastAsia="仿宋_GB2312"/>
          <w:sz w:val="28"/>
          <w:szCs w:val="28"/>
        </w:rPr>
        <w:t>规划采用天然气作为主供气源，由现状启东天然气门站和城区 LNG气化站通过天然气中压管网供应。本单元天然气由启东城区天然气中压管网供应，单元内不新建高等级天然气场站。燃气主干管沿沿江公路、华石路、海洪路、世纪大道布置，管径为DN160~250</w:t>
      </w:r>
      <w:r>
        <w:rPr>
          <w:rFonts w:eastAsia="仿宋_GB2312"/>
          <w:sz w:val="28"/>
          <w:szCs w:val="28"/>
        </w:rPr>
        <w:t>。</w:t>
      </w:r>
    </w:p>
    <w:p w14:paraId="2E385A37">
      <w:pPr>
        <w:pStyle w:val="5"/>
      </w:pPr>
      <w:r>
        <w:t>1.5.5 供热工程</w:t>
      </w:r>
    </w:p>
    <w:p w14:paraId="18E19105">
      <w:pPr>
        <w:spacing w:line="500" w:lineRule="exact"/>
        <w:ind w:firstLine="560" w:firstLineChars="200"/>
        <w:rPr>
          <w:rFonts w:eastAsia="仿宋_GB2312"/>
          <w:sz w:val="28"/>
          <w:szCs w:val="28"/>
        </w:rPr>
      </w:pPr>
      <w:bookmarkStart w:id="14" w:name="_Hlk69372245"/>
      <w:r>
        <w:rPr>
          <w:rFonts w:hint="eastAsia" w:eastAsia="仿宋_GB2312"/>
          <w:sz w:val="28"/>
          <w:szCs w:val="28"/>
          <w:lang w:val="en-US" w:eastAsia="zh-CN"/>
        </w:rPr>
        <w:t>集中区采用集中供热</w:t>
      </w:r>
      <w:r>
        <w:rPr>
          <w:rFonts w:eastAsia="仿宋_GB2312"/>
          <w:sz w:val="28"/>
          <w:szCs w:val="28"/>
        </w:rPr>
        <w:t>，热源点为</w:t>
      </w:r>
      <w:r>
        <w:rPr>
          <w:rFonts w:hint="eastAsia" w:eastAsia="仿宋_GB2312"/>
          <w:sz w:val="28"/>
          <w:szCs w:val="28"/>
        </w:rPr>
        <w:t>国信启东热电有限公司</w:t>
      </w:r>
      <w:r>
        <w:rPr>
          <w:rFonts w:eastAsia="仿宋_GB2312"/>
          <w:sz w:val="28"/>
          <w:szCs w:val="28"/>
        </w:rPr>
        <w:t>。</w:t>
      </w:r>
      <w:r>
        <w:rPr>
          <w:rFonts w:hint="eastAsia" w:eastAsia="仿宋_GB2312"/>
          <w:sz w:val="28"/>
          <w:szCs w:val="28"/>
        </w:rPr>
        <w:t>国信启东热电有限公司建设2×B8.5MW高温高压背压机+3×75t/h高温高压循环流化床炉（一台备用）锅炉。供热管道尽量沿河边和次要道路布置，不妨碍交通，不损坏已有建筑物，在满足用户要求的同时，尽量缩短管线长度。</w:t>
      </w:r>
    </w:p>
    <w:p w14:paraId="79DE3200">
      <w:pPr>
        <w:pStyle w:val="5"/>
      </w:pPr>
      <w:r>
        <w:t>1.5.6 综合交通规划</w:t>
      </w:r>
    </w:p>
    <w:bookmarkEnd w:id="14"/>
    <w:p w14:paraId="1C606C71">
      <w:pPr>
        <w:spacing w:line="500" w:lineRule="exact"/>
        <w:ind w:firstLine="560" w:firstLineChars="200"/>
        <w:rPr>
          <w:rFonts w:eastAsia="仿宋_GB2312"/>
          <w:sz w:val="28"/>
          <w:szCs w:val="28"/>
        </w:rPr>
      </w:pPr>
      <w:r>
        <w:rPr>
          <w:rFonts w:hint="eastAsia" w:eastAsia="仿宋_GB2312"/>
          <w:sz w:val="28"/>
          <w:szCs w:val="28"/>
          <w:lang w:val="en-US" w:eastAsia="zh-CN"/>
        </w:rPr>
        <w:t>集中区</w:t>
      </w:r>
      <w:r>
        <w:rPr>
          <w:rFonts w:hint="eastAsia" w:eastAsia="仿宋_GB2312"/>
          <w:sz w:val="28"/>
          <w:szCs w:val="28"/>
        </w:rPr>
        <w:t>主要依托华石路、环西大道南北链接紫薇路、世纪大道、沿江公路，向东联系现状沪峡高速公路，向西联系规划通沪高速。规划形成“两横一纵”的主要干路网，与周边区域交通干线相衔接</w:t>
      </w:r>
      <w:r>
        <w:rPr>
          <w:rFonts w:hint="eastAsia" w:eastAsia="仿宋_GB2312"/>
          <w:sz w:val="28"/>
          <w:szCs w:val="28"/>
          <w:lang w:eastAsia="zh-CN"/>
        </w:rPr>
        <w:t>，</w:t>
      </w:r>
      <w:r>
        <w:rPr>
          <w:rFonts w:hint="eastAsia" w:eastAsia="仿宋_GB2312"/>
          <w:sz w:val="28"/>
          <w:szCs w:val="28"/>
        </w:rPr>
        <w:t>“两横”即世纪大道、钱塘江路；“一纵”即华石路。</w:t>
      </w:r>
      <w:r>
        <w:rPr>
          <w:rFonts w:hint="eastAsia" w:eastAsia="仿宋_GB2312"/>
          <w:sz w:val="28"/>
          <w:szCs w:val="28"/>
          <w:lang w:val="en-US" w:eastAsia="zh-CN"/>
        </w:rPr>
        <w:t>规划</w:t>
      </w:r>
      <w:r>
        <w:rPr>
          <w:rFonts w:hint="eastAsia" w:eastAsia="仿宋_GB2312"/>
          <w:sz w:val="28"/>
          <w:szCs w:val="28"/>
        </w:rPr>
        <w:t>形成“三横三纵”的次干路网，“三横”即张江路、引河北路、迎春路，“三纵”即新洪路、海洪路、罗山路。</w:t>
      </w:r>
    </w:p>
    <w:p w14:paraId="3A2CEAD1">
      <w:pPr>
        <w:spacing w:line="500" w:lineRule="exact"/>
        <w:ind w:firstLine="560" w:firstLineChars="200"/>
        <w:rPr>
          <w:rFonts w:eastAsia="仿宋_GB2312"/>
          <w:sz w:val="28"/>
          <w:szCs w:val="28"/>
        </w:rPr>
      </w:pPr>
    </w:p>
    <w:p w14:paraId="667D2F6E">
      <w:pPr>
        <w:rPr>
          <w:rFonts w:eastAsia="仿宋_GB2312"/>
          <w:color w:val="FF0000"/>
          <w:sz w:val="28"/>
          <w:szCs w:val="28"/>
        </w:rPr>
      </w:pPr>
    </w:p>
    <w:p w14:paraId="74751D65">
      <w:pPr>
        <w:rPr>
          <w:color w:val="FF0000"/>
        </w:rPr>
        <w:sectPr>
          <w:footerReference r:id="rId4" w:type="default"/>
          <w:pgSz w:w="11906" w:h="16838"/>
          <w:pgMar w:top="1440" w:right="1800" w:bottom="1440" w:left="1800" w:header="851" w:footer="992" w:gutter="0"/>
          <w:pgNumType w:start="1"/>
          <w:cols w:space="425" w:num="1"/>
          <w:docGrid w:type="lines" w:linePitch="312" w:charSpace="0"/>
        </w:sectPr>
      </w:pPr>
    </w:p>
    <w:p w14:paraId="4BF5AB12">
      <w:pPr>
        <w:pStyle w:val="2"/>
      </w:pPr>
      <w:bookmarkStart w:id="15" w:name="_Toc8519"/>
      <w:r>
        <w:t>2 规划协调性分析</w:t>
      </w:r>
      <w:bookmarkEnd w:id="15"/>
    </w:p>
    <w:p w14:paraId="2AB0A34A">
      <w:pPr>
        <w:pStyle w:val="3"/>
      </w:pPr>
      <w:bookmarkStart w:id="16" w:name="_Toc2925"/>
      <w:r>
        <w:t>2.1 与区域发展规划协调性分析</w:t>
      </w:r>
      <w:bookmarkEnd w:id="16"/>
    </w:p>
    <w:p w14:paraId="03B7FE2D">
      <w:pPr>
        <w:pStyle w:val="8"/>
        <w:overflowPunct w:val="0"/>
        <w:topLinePunct/>
        <w:snapToGrid w:val="0"/>
        <w:spacing w:line="50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本轮规划发展目标和产业规划与</w:t>
      </w:r>
      <w:r>
        <w:rPr>
          <w:rFonts w:hint="eastAsia" w:ascii="Times New Roman" w:hAnsi="Times New Roman" w:eastAsia="仿宋_GB2312"/>
          <w:sz w:val="28"/>
          <w:szCs w:val="28"/>
        </w:rPr>
        <w:t>《长江三角洲区域一体化发展规划纲要》、《江苏省国民经济和社会发展第十四个五年规划和二〇三五年远景目标纲要》、《南通市国民经济和社会发展第十四个五年规划和二〇三五年远景目标纲要》、《启东市国土空间总体规划（2021-2035年）》</w:t>
      </w:r>
      <w:r>
        <w:rPr>
          <w:rFonts w:ascii="Times New Roman" w:hAnsi="Times New Roman" w:eastAsia="仿宋_GB2312"/>
          <w:sz w:val="28"/>
          <w:szCs w:val="28"/>
        </w:rPr>
        <w:t>等发展规划要求相协调。</w:t>
      </w:r>
    </w:p>
    <w:p w14:paraId="05BC0CD9">
      <w:pPr>
        <w:pStyle w:val="3"/>
      </w:pPr>
      <w:bookmarkStart w:id="17" w:name="_Toc20639"/>
      <w:r>
        <w:t>2.2 与</w:t>
      </w:r>
      <w:r>
        <w:rPr>
          <w:rFonts w:hint="eastAsia"/>
        </w:rPr>
        <w:t>区域国土空间</w:t>
      </w:r>
      <w:r>
        <w:t>规划协调性分析</w:t>
      </w:r>
      <w:bookmarkEnd w:id="17"/>
    </w:p>
    <w:p w14:paraId="1A458699">
      <w:pPr>
        <w:spacing w:line="500" w:lineRule="exact"/>
        <w:ind w:firstLine="560" w:firstLineChars="200"/>
        <w:rPr>
          <w:rFonts w:eastAsia="仿宋_GB2312"/>
          <w:sz w:val="28"/>
          <w:szCs w:val="28"/>
        </w:rPr>
      </w:pPr>
      <w:r>
        <w:rPr>
          <w:rFonts w:eastAsia="仿宋_GB2312"/>
          <w:sz w:val="28"/>
          <w:szCs w:val="28"/>
        </w:rPr>
        <w:t>对照</w:t>
      </w:r>
      <w:r>
        <w:rPr>
          <w:rFonts w:hint="eastAsia" w:eastAsia="仿宋_GB2312"/>
          <w:sz w:val="28"/>
          <w:szCs w:val="28"/>
          <w:lang w:val="en-US" w:eastAsia="zh-CN"/>
        </w:rPr>
        <w:t>启东市</w:t>
      </w:r>
      <w:r>
        <w:rPr>
          <w:rFonts w:eastAsia="仿宋_GB2312"/>
          <w:sz w:val="28"/>
          <w:szCs w:val="28"/>
        </w:rPr>
        <w:t>“三区三线”划定成果（城镇开发边界、永久基本农田、生态保护红线），</w:t>
      </w:r>
      <w:r>
        <w:rPr>
          <w:rFonts w:hint="eastAsia" w:eastAsia="仿宋_GB2312"/>
          <w:sz w:val="28"/>
          <w:szCs w:val="28"/>
          <w:lang w:val="en-US" w:eastAsia="zh-CN"/>
        </w:rPr>
        <w:t>集中区</w:t>
      </w:r>
      <w:r>
        <w:rPr>
          <w:rFonts w:eastAsia="仿宋_GB2312"/>
          <w:sz w:val="28"/>
          <w:szCs w:val="28"/>
        </w:rPr>
        <w:t>本轮规划范围部分区域</w:t>
      </w:r>
      <w:r>
        <w:rPr>
          <w:rFonts w:hint="eastAsia" w:eastAsia="仿宋_GB2312"/>
          <w:sz w:val="28"/>
          <w:szCs w:val="28"/>
        </w:rPr>
        <w:t>均位于城镇开发边界内，不涉及生态保护红线，不涉及永久基本农田保护区</w:t>
      </w:r>
      <w:r>
        <w:rPr>
          <w:rFonts w:eastAsia="仿宋_GB2312"/>
          <w:sz w:val="28"/>
          <w:szCs w:val="28"/>
        </w:rPr>
        <w:t>。</w:t>
      </w:r>
    </w:p>
    <w:p w14:paraId="78496409">
      <w:pPr>
        <w:pStyle w:val="3"/>
      </w:pPr>
      <w:bookmarkStart w:id="18" w:name="_Toc22986"/>
      <w:r>
        <w:t>2.3 与产业政策及规划协调性分析</w:t>
      </w:r>
      <w:bookmarkEnd w:id="18"/>
    </w:p>
    <w:p w14:paraId="328F9FE9">
      <w:pPr>
        <w:pStyle w:val="8"/>
        <w:overflowPunct w:val="0"/>
        <w:topLinePunct/>
        <w:snapToGrid w:val="0"/>
        <w:spacing w:after="0" w:line="500" w:lineRule="exact"/>
        <w:ind w:firstLine="560" w:firstLineChars="200"/>
        <w:rPr>
          <w:rFonts w:ascii="Times New Roman" w:hAnsi="Times New Roman" w:eastAsia="仿宋_GB2312"/>
          <w:sz w:val="28"/>
          <w:szCs w:val="28"/>
        </w:rPr>
      </w:pPr>
      <w:bookmarkStart w:id="19" w:name="_Hlk55464437"/>
      <w:r>
        <w:rPr>
          <w:rFonts w:hint="eastAsia" w:eastAsia="仿宋_GB2312"/>
          <w:sz w:val="28"/>
          <w:szCs w:val="28"/>
          <w:lang w:val="en-US" w:eastAsia="zh-CN"/>
        </w:rPr>
        <w:t>集中区</w:t>
      </w:r>
      <w:r>
        <w:rPr>
          <w:rFonts w:ascii="Times New Roman" w:hAnsi="Times New Roman" w:eastAsia="仿宋_GB2312"/>
          <w:sz w:val="28"/>
          <w:szCs w:val="28"/>
        </w:rPr>
        <w:t>将严格执行</w:t>
      </w:r>
      <w:r>
        <w:rPr>
          <w:rFonts w:hint="eastAsia" w:ascii="Times New Roman" w:hAnsi="Times New Roman" w:eastAsia="仿宋_GB2312"/>
          <w:sz w:val="28"/>
          <w:szCs w:val="28"/>
        </w:rPr>
        <w:t>《产业结构调整指导目录（2024年本）》、《鼓励外商投资产业目录》（2022年版）、《产业转移指导目录（2018年本）》、《长江经济带发展负面清单指南（试行，2022年版）》</w:t>
      </w:r>
      <w:r>
        <w:rPr>
          <w:rFonts w:ascii="Times New Roman" w:hAnsi="Times New Roman" w:eastAsia="仿宋_GB2312"/>
          <w:sz w:val="28"/>
          <w:szCs w:val="28"/>
        </w:rPr>
        <w:t>、《&lt;长江经济带发展负面清单指南（试行，2022年版）&gt;江苏省实施细则》等相关政策规范要求，不引入以上文件中的禁止、淘汰和限制类项目。</w:t>
      </w:r>
    </w:p>
    <w:p w14:paraId="1D5E477D">
      <w:pPr>
        <w:adjustRightInd w:val="0"/>
        <w:spacing w:line="500" w:lineRule="exact"/>
        <w:ind w:firstLine="560" w:firstLineChars="200"/>
        <w:rPr>
          <w:rFonts w:eastAsia="仿宋_GB2312"/>
          <w:sz w:val="28"/>
          <w:szCs w:val="28"/>
        </w:rPr>
      </w:pPr>
      <w:r>
        <w:rPr>
          <w:rFonts w:hint="eastAsia" w:eastAsia="仿宋_GB2312"/>
          <w:sz w:val="28"/>
          <w:szCs w:val="28"/>
          <w:lang w:val="en-US" w:eastAsia="zh-CN"/>
        </w:rPr>
        <w:t>集中区</w:t>
      </w:r>
      <w:r>
        <w:rPr>
          <w:rFonts w:eastAsia="仿宋_GB2312"/>
          <w:sz w:val="28"/>
          <w:szCs w:val="28"/>
        </w:rPr>
        <w:t>本轮规划的产业方向与</w:t>
      </w:r>
      <w:r>
        <w:rPr>
          <w:rFonts w:hint="eastAsia" w:eastAsia="仿宋_GB2312"/>
          <w:sz w:val="28"/>
          <w:szCs w:val="28"/>
        </w:rPr>
        <w:t>《国务院关于加快建立健全绿色低碳循环发展经济体系的指导意见》（国发〔2021〕4号）、《省政府办公厅关于印发江苏省“十四五”制造业高质量发展规划的通知》（苏政办发〔2021〕51号）、《关于印发江苏省“十四五”工业绿色发展等规划的通知》（苏工信综合〔2021〕409号）、《南通市关于加强减污降碳协同推进重点行业绿色发展的指导意见》（通办〔2024〕6号）</w:t>
      </w:r>
      <w:r>
        <w:rPr>
          <w:rFonts w:eastAsia="仿宋_GB2312"/>
          <w:sz w:val="28"/>
          <w:szCs w:val="28"/>
        </w:rPr>
        <w:t>等产业相关政策及规划相符合，</w:t>
      </w:r>
      <w:r>
        <w:rPr>
          <w:rFonts w:hint="eastAsia" w:eastAsia="仿宋_GB2312"/>
          <w:sz w:val="28"/>
          <w:szCs w:val="28"/>
          <w:lang w:val="en-US" w:eastAsia="zh-CN"/>
        </w:rPr>
        <w:t>集中</w:t>
      </w:r>
      <w:r>
        <w:rPr>
          <w:rFonts w:eastAsia="仿宋_GB2312"/>
          <w:sz w:val="28"/>
          <w:szCs w:val="28"/>
        </w:rPr>
        <w:t>区将积极推行高效能、低能耗、可循环、少排放的绿色生产模式。</w:t>
      </w:r>
    </w:p>
    <w:p w14:paraId="6E39F768">
      <w:pPr>
        <w:adjustRightInd w:val="0"/>
        <w:spacing w:line="500" w:lineRule="exact"/>
        <w:ind w:firstLine="560" w:firstLineChars="200"/>
        <w:rPr>
          <w:rFonts w:eastAsia="仿宋_GB2312"/>
          <w:sz w:val="28"/>
          <w:szCs w:val="28"/>
        </w:rPr>
      </w:pPr>
      <w:r>
        <w:rPr>
          <w:rFonts w:eastAsia="仿宋_GB2312"/>
          <w:sz w:val="28"/>
          <w:szCs w:val="28"/>
        </w:rPr>
        <w:t>此外，本轮规划环评结合以上产业政策制定了生态环境准入清单，</w:t>
      </w:r>
      <w:r>
        <w:rPr>
          <w:rFonts w:hint="eastAsia" w:eastAsia="仿宋_GB2312"/>
          <w:sz w:val="28"/>
          <w:szCs w:val="28"/>
          <w:lang w:val="en-US" w:eastAsia="zh-CN"/>
        </w:rPr>
        <w:t>集中</w:t>
      </w:r>
      <w:r>
        <w:rPr>
          <w:rFonts w:eastAsia="仿宋_GB2312"/>
          <w:sz w:val="28"/>
          <w:szCs w:val="28"/>
        </w:rPr>
        <w:t>区将严格按清单控制入区项目，围绕相关产业政策和规划中鼓励发展的项目进行招商引资。综上，</w:t>
      </w:r>
      <w:r>
        <w:rPr>
          <w:rFonts w:hint="eastAsia" w:eastAsia="仿宋_GB2312"/>
          <w:sz w:val="28"/>
          <w:szCs w:val="28"/>
          <w:lang w:val="en-US" w:eastAsia="zh-CN"/>
        </w:rPr>
        <w:t>集中</w:t>
      </w:r>
      <w:r>
        <w:rPr>
          <w:rFonts w:eastAsia="仿宋_GB2312"/>
          <w:sz w:val="28"/>
          <w:szCs w:val="28"/>
        </w:rPr>
        <w:t>区本轮规划与相关产业政策具有协调性。</w:t>
      </w:r>
    </w:p>
    <w:bookmarkEnd w:id="19"/>
    <w:p w14:paraId="40D5460B">
      <w:pPr>
        <w:pStyle w:val="3"/>
      </w:pPr>
      <w:bookmarkStart w:id="20" w:name="_Toc18680"/>
      <w:r>
        <w:t>2.4 与生态环境保护法规及规划协调性分析</w:t>
      </w:r>
      <w:bookmarkEnd w:id="20"/>
    </w:p>
    <w:p w14:paraId="109B692A">
      <w:pPr>
        <w:spacing w:line="500" w:lineRule="exact"/>
        <w:ind w:firstLine="560" w:firstLineChars="200"/>
        <w:rPr>
          <w:rFonts w:eastAsia="仿宋_GB2312"/>
          <w:sz w:val="28"/>
          <w:szCs w:val="28"/>
        </w:rPr>
      </w:pPr>
      <w:r>
        <w:rPr>
          <w:rFonts w:hint="eastAsia" w:eastAsia="仿宋_GB2312"/>
          <w:sz w:val="28"/>
          <w:szCs w:val="28"/>
        </w:rPr>
        <w:t>根据《江苏省国家级生态保护红线规划》（苏政发〔2018〕74号）和“三区三线”划定成果，开发区不占用国家级生态保护红线，周边距离较近的为启东市饮用水水源保护区，与开发区最近距离约为6.57km。集中区内河道设置闸阀用于截断事故废水并常年处于关闭状态，区内水系与头兴港互不连通，确保集中区发生突发环境事件时事故废水不会进入头兴港，对启东市饮用水水源保护区不会产生影响。</w:t>
      </w:r>
    </w:p>
    <w:p w14:paraId="2C6A2EEC">
      <w:pPr>
        <w:spacing w:line="500" w:lineRule="exact"/>
        <w:ind w:firstLine="560" w:firstLineChars="200"/>
        <w:rPr>
          <w:rFonts w:eastAsia="仿宋_GB2312"/>
          <w:sz w:val="28"/>
          <w:szCs w:val="28"/>
        </w:rPr>
      </w:pPr>
      <w:r>
        <w:rPr>
          <w:rFonts w:hint="eastAsia" w:eastAsia="仿宋_GB2312"/>
          <w:sz w:val="28"/>
          <w:szCs w:val="28"/>
        </w:rPr>
        <w:t>根据《江苏省生态空间管控区域规划》（苏政发〔2020〕1号）和《江苏省自然资源厅关于启东市生态空间管控区域调整方案的复函》（苏自然资函〔2021〕1250号），集中区规划范围不涉及生态空间管控区域，距离最近的生态空间管控区域为头兴港河清水通道维护区，最近距离为1.18km。本次规划不在生态空间管控区内开展开发建设活动，区内废水有效收集处理，固废规范处置，不向清水通道维护区内倾倒、排放、堆放、填埋废弃物，不在河道管理范围内倾倒、排放油类、酸液、碱液等有毒有害物质；不在堤防和护堤地建房、垦种、放牧、开渠、打井、挖窖、葬坟、晒粮、存放物料、开采地下资源、进行考古发掘以及开展集市贸易活动等，与清水通道维护区管控要求相符。</w:t>
      </w:r>
    </w:p>
    <w:p w14:paraId="38D2D61E">
      <w:pPr>
        <w:spacing w:line="500" w:lineRule="exact"/>
        <w:ind w:firstLine="560" w:firstLineChars="200"/>
        <w:rPr>
          <w:rFonts w:eastAsia="仿宋_GB2312"/>
          <w:sz w:val="28"/>
          <w:szCs w:val="28"/>
        </w:rPr>
      </w:pPr>
      <w:r>
        <w:rPr>
          <w:rFonts w:hint="eastAsia" w:eastAsia="仿宋_GB2312"/>
          <w:sz w:val="28"/>
          <w:szCs w:val="28"/>
          <w:lang w:val="en-US" w:eastAsia="zh-CN"/>
        </w:rPr>
        <w:t>集中区</w:t>
      </w:r>
      <w:r>
        <w:rPr>
          <w:rFonts w:eastAsia="仿宋_GB2312"/>
          <w:sz w:val="28"/>
          <w:szCs w:val="28"/>
        </w:rPr>
        <w:t>本轮规划与</w:t>
      </w:r>
      <w:r>
        <w:rPr>
          <w:rFonts w:hint="eastAsia" w:eastAsia="仿宋_GB2312"/>
          <w:sz w:val="28"/>
          <w:szCs w:val="28"/>
        </w:rPr>
        <w:t>《中共中央 国务院关于深入打好污染防治攻坚战的意见》（2021年11月2日）、《国务院关于印发2030年前碳达峰行动方案的通知》（国发〔2021〕23号）、《关于印发江苏省工业园区（集中区）污染物排放限值限量管理工作方案（试行）的通知》（苏污防攻坚指办〔2021〕56号）、《江苏省长江水污染防治条例》、《深入打好长江保护修复攻坚战行动方案》（环水体〔2022〕55号）、《江苏省长江经济带生态环境保护实施规划》、《省政府办公厅关于加快推进城市污水处理能力建设全面提升污水集中收集处理率的实施意见》（苏政办发〔2022〕42号）、《江苏省工业废水与生活污水分质处理工作推进方案》的通知（苏政办〔2023〕144号）、《江苏省地表水氟化物污染治理工作方案（2023-2025年）》（苏污防攻坚指办〔2023〕2号）、关于印发《江苏省重点行业工业企业雨水排放环境管理办法（试行）》的通知（苏污防攻坚指办〔2023〕71号）、《“十四五”噪声污染防治行动计划》（环大气〔2023〕1号）、《江苏省“十四五”生态环境保护规划》（苏政发〔2021〕84号）、《省政府关于印发江苏省碳达峰实施方案的通知》（苏政发〔2022〕88号）、《关于深入打好污染防治攻坚战的实施意见》（苏发〔2022〕3号）、《江苏省土壤污染防治条例》（2022年9月1日起施行）、《江苏省地表水氟化物污染治理工作方案（2023—2025年）》</w:t>
      </w:r>
      <w:r>
        <w:rPr>
          <w:rFonts w:eastAsia="仿宋_GB2312"/>
          <w:sz w:val="28"/>
          <w:szCs w:val="28"/>
        </w:rPr>
        <w:t>等相协调。</w:t>
      </w:r>
    </w:p>
    <w:p w14:paraId="2DF9AA92">
      <w:pPr>
        <w:pStyle w:val="2"/>
        <w:sectPr>
          <w:pgSz w:w="11906" w:h="16838"/>
          <w:pgMar w:top="1440" w:right="1800" w:bottom="1440" w:left="1800" w:header="851" w:footer="992" w:gutter="0"/>
          <w:cols w:space="425" w:num="1"/>
          <w:docGrid w:type="lines" w:linePitch="312" w:charSpace="0"/>
        </w:sectPr>
      </w:pPr>
    </w:p>
    <w:p w14:paraId="5E115CCF">
      <w:pPr>
        <w:pStyle w:val="2"/>
      </w:pPr>
      <w:bookmarkStart w:id="21" w:name="_Toc23698"/>
      <w:r>
        <w:t>3 环境质量现状</w:t>
      </w:r>
      <w:bookmarkEnd w:id="21"/>
    </w:p>
    <w:p w14:paraId="44345C96">
      <w:pPr>
        <w:spacing w:line="500" w:lineRule="exact"/>
        <w:ind w:firstLine="560" w:firstLineChars="200"/>
        <w:rPr>
          <w:rFonts w:eastAsia="仿宋_GB2312"/>
          <w:sz w:val="28"/>
          <w:szCs w:val="28"/>
        </w:rPr>
      </w:pPr>
      <w:bookmarkStart w:id="22" w:name="_Hlk67211259"/>
      <w:r>
        <w:rPr>
          <w:rFonts w:eastAsia="仿宋_GB2312"/>
          <w:sz w:val="28"/>
          <w:szCs w:val="28"/>
        </w:rPr>
        <w:t>（1）环境空气：</w:t>
      </w:r>
      <w:r>
        <w:rPr>
          <w:rFonts w:hint="eastAsia" w:eastAsia="仿宋_GB2312"/>
          <w:sz w:val="28"/>
          <w:szCs w:val="28"/>
        </w:rPr>
        <w:t>根据启东长江新村、启东南苑小学监测站环境空气自动监测站点（与开发区最近距离分别约</w:t>
      </w:r>
      <w:r>
        <w:rPr>
          <w:rFonts w:hint="eastAsia" w:eastAsia="仿宋_GB2312"/>
          <w:sz w:val="28"/>
          <w:szCs w:val="28"/>
          <w:lang w:val="en-US" w:eastAsia="zh-CN"/>
        </w:rPr>
        <w:t>5.82</w:t>
      </w:r>
      <w:r>
        <w:rPr>
          <w:rFonts w:hint="eastAsia" w:eastAsia="仿宋_GB2312"/>
          <w:sz w:val="28"/>
          <w:szCs w:val="28"/>
        </w:rPr>
        <w:t>km、</w:t>
      </w:r>
      <w:r>
        <w:rPr>
          <w:rFonts w:hint="eastAsia" w:eastAsia="仿宋_GB2312"/>
          <w:sz w:val="28"/>
          <w:szCs w:val="28"/>
          <w:lang w:val="en-US" w:eastAsia="zh-CN"/>
        </w:rPr>
        <w:t>4.23</w:t>
      </w:r>
      <w:r>
        <w:rPr>
          <w:rFonts w:hint="eastAsia" w:eastAsia="仿宋_GB2312"/>
          <w:sz w:val="28"/>
          <w:szCs w:val="28"/>
        </w:rPr>
        <w:t>km）基本污染物2024年连续1年的监测数据，本区域为达标区。</w:t>
      </w:r>
      <w:r>
        <w:rPr>
          <w:rFonts w:eastAsia="仿宋_GB2312"/>
          <w:sz w:val="28"/>
          <w:szCs w:val="28"/>
        </w:rPr>
        <w:t>根据环境空气质量现状监测结果，监测期间</w:t>
      </w:r>
      <w:r>
        <w:rPr>
          <w:rFonts w:hint="eastAsia" w:eastAsia="仿宋_GB2312"/>
          <w:sz w:val="28"/>
          <w:szCs w:val="28"/>
        </w:rPr>
        <w:t>特征因子甲醛、氟化物、硫化氢、丙酮、氰化氢、铬酸雾、二氯甲烷、二氯乙烷均未检出，监测期间各监测点位所测各项大气污染物监测值均符合相应浓度限值标准要求。</w:t>
      </w:r>
    </w:p>
    <w:p w14:paraId="4237F159">
      <w:pPr>
        <w:spacing w:line="500" w:lineRule="exact"/>
        <w:ind w:firstLine="560" w:firstLineChars="200"/>
        <w:rPr>
          <w:rFonts w:eastAsia="仿宋_GB2312"/>
          <w:sz w:val="28"/>
          <w:szCs w:val="28"/>
        </w:rPr>
      </w:pPr>
      <w:r>
        <w:rPr>
          <w:rFonts w:eastAsia="仿宋_GB2312"/>
          <w:sz w:val="28"/>
          <w:szCs w:val="28"/>
        </w:rPr>
        <w:t>（2）地表水环境：根据地表水环境质量现状监测结果，监测期间</w:t>
      </w:r>
      <w:r>
        <w:rPr>
          <w:rFonts w:hint="eastAsia" w:eastAsia="仿宋_GB2312"/>
          <w:sz w:val="28"/>
          <w:szCs w:val="28"/>
        </w:rPr>
        <w:t>长江各监测断面环境质量满足《地表水环境质量标准》（GB 3838-2002）Ⅲ类水质标准要求。三星河各监测断面环境质量满足《地表水环境质量标准》（GB 3838-2002）Ⅳ类水质标准要求</w:t>
      </w:r>
      <w:r>
        <w:rPr>
          <w:rFonts w:eastAsia="仿宋_GB2312"/>
          <w:sz w:val="28"/>
          <w:szCs w:val="28"/>
        </w:rPr>
        <w:t>。</w:t>
      </w:r>
    </w:p>
    <w:p w14:paraId="7732C81C">
      <w:pPr>
        <w:spacing w:line="500" w:lineRule="exact"/>
        <w:ind w:firstLine="560" w:firstLineChars="200"/>
        <w:rPr>
          <w:rFonts w:eastAsia="仿宋_GB2312"/>
          <w:sz w:val="28"/>
          <w:szCs w:val="28"/>
        </w:rPr>
      </w:pPr>
      <w:r>
        <w:rPr>
          <w:rFonts w:eastAsia="仿宋_GB2312"/>
          <w:sz w:val="28"/>
          <w:szCs w:val="28"/>
        </w:rPr>
        <w:t>（3）地下水环境：根据地下水环境质量现状监测结果，对照《地下水质量标准》（GB/T14848-2017）中的各分类标准，监测期间，</w:t>
      </w:r>
      <w:r>
        <w:rPr>
          <w:rFonts w:hint="eastAsia" w:eastAsia="仿宋_GB2312"/>
          <w:sz w:val="28"/>
          <w:szCs w:val="28"/>
        </w:rPr>
        <w:t>集中区所在区域地下水中除部分点位总大肠菌群、细菌总数达到Ⅳ类标准外，其余各监测点位所测各项指标监测值均可达到《地下水质量标准》（GB/T14848-2017）III类及以上标准要求</w:t>
      </w:r>
      <w:r>
        <w:rPr>
          <w:rFonts w:eastAsia="仿宋_GB2312"/>
          <w:sz w:val="28"/>
          <w:szCs w:val="28"/>
        </w:rPr>
        <w:t>。</w:t>
      </w:r>
    </w:p>
    <w:p w14:paraId="7233BFC6">
      <w:pPr>
        <w:spacing w:line="500" w:lineRule="exact"/>
        <w:ind w:firstLine="560" w:firstLineChars="200"/>
        <w:rPr>
          <w:rFonts w:eastAsia="仿宋_GB2312"/>
          <w:sz w:val="28"/>
          <w:szCs w:val="28"/>
        </w:rPr>
      </w:pPr>
      <w:r>
        <w:rPr>
          <w:rFonts w:eastAsia="仿宋_GB2312"/>
          <w:sz w:val="28"/>
          <w:szCs w:val="28"/>
        </w:rPr>
        <w:t>（4）声环境：根据声环境质量现状监测结果，监测期间各监测点位的昼间、夜间噪声监测值均符合《声环境质量标准》（GB 3096-2008）中相应声环境功能区标准限值要求。</w:t>
      </w:r>
    </w:p>
    <w:p w14:paraId="389F136C">
      <w:pPr>
        <w:spacing w:line="500" w:lineRule="exact"/>
        <w:ind w:firstLine="561"/>
        <w:rPr>
          <w:rFonts w:eastAsia="仿宋_GB2312"/>
          <w:sz w:val="28"/>
          <w:szCs w:val="28"/>
        </w:rPr>
      </w:pPr>
      <w:r>
        <w:rPr>
          <w:rFonts w:eastAsia="仿宋_GB2312"/>
          <w:sz w:val="28"/>
          <w:szCs w:val="28"/>
        </w:rPr>
        <w:t>（5）土壤环境：根据土壤环境质量现状监测结果，监测期间所有监测点位各项指标监测值均低于《土壤环境质量 建设用地土壤污染风险管控标准（试行）》（GB36600-2018）中的用地筛选值或《土壤环境质量 农用地土壤污染风险管控标准（试行）》（GB15618-2018）风险筛选值。</w:t>
      </w:r>
    </w:p>
    <w:p w14:paraId="2ABF0B24">
      <w:pPr>
        <w:spacing w:line="500" w:lineRule="exact"/>
        <w:ind w:firstLine="560" w:firstLineChars="200"/>
        <w:rPr>
          <w:rFonts w:eastAsia="仿宋_GB2312"/>
          <w:sz w:val="28"/>
          <w:szCs w:val="28"/>
        </w:rPr>
      </w:pPr>
      <w:r>
        <w:rPr>
          <w:rFonts w:eastAsia="仿宋_GB2312"/>
          <w:sz w:val="28"/>
          <w:szCs w:val="28"/>
        </w:rPr>
        <w:t>（6）底泥：根据底泥环境现状监测结果，监测期间各项监测项目均满足《土壤环境质量 农用地土壤污染风险管控标准（试行）》（GB15618-2018）中对应土壤污染筛选值要求。</w:t>
      </w:r>
    </w:p>
    <w:bookmarkEnd w:id="22"/>
    <w:p w14:paraId="7E1B275C">
      <w:pPr>
        <w:tabs>
          <w:tab w:val="left" w:pos="8647"/>
          <w:tab w:val="left" w:pos="8789"/>
        </w:tabs>
        <w:adjustRightInd w:val="0"/>
        <w:spacing w:line="500" w:lineRule="exact"/>
        <w:ind w:firstLine="560" w:firstLineChars="200"/>
        <w:rPr>
          <w:rFonts w:eastAsia="仿宋_GB2312"/>
          <w:bCs/>
          <w:color w:val="FF0000"/>
          <w:sz w:val="28"/>
          <w:szCs w:val="28"/>
        </w:rPr>
      </w:pPr>
    </w:p>
    <w:p w14:paraId="72C1F8F8">
      <w:pPr>
        <w:pStyle w:val="2"/>
        <w:sectPr>
          <w:pgSz w:w="11906" w:h="16838"/>
          <w:pgMar w:top="1440" w:right="1800" w:bottom="1440" w:left="1800" w:header="851" w:footer="992" w:gutter="0"/>
          <w:cols w:space="425" w:num="1"/>
          <w:docGrid w:type="lines" w:linePitch="312" w:charSpace="0"/>
        </w:sectPr>
      </w:pPr>
    </w:p>
    <w:p w14:paraId="16792860">
      <w:pPr>
        <w:pStyle w:val="2"/>
      </w:pPr>
      <w:bookmarkStart w:id="23" w:name="_Toc15045"/>
      <w:r>
        <w:t>4 环境影响预测结论</w:t>
      </w:r>
      <w:bookmarkEnd w:id="23"/>
    </w:p>
    <w:p w14:paraId="76D315DC">
      <w:pPr>
        <w:spacing w:line="500" w:lineRule="exact"/>
        <w:ind w:firstLine="560" w:firstLineChars="200"/>
        <w:rPr>
          <w:rFonts w:hint="default" w:ascii="Times New Roman" w:hAnsi="Times New Roman" w:eastAsia="仿宋_GB2312" w:cs="Times New Roman"/>
          <w:sz w:val="28"/>
          <w:szCs w:val="28"/>
        </w:rPr>
      </w:pPr>
      <w:bookmarkStart w:id="24" w:name="_Hlk55642365"/>
      <w:r>
        <w:rPr>
          <w:rFonts w:hint="default" w:ascii="Times New Roman" w:hAnsi="Times New Roman" w:eastAsia="仿宋_GB2312" w:cs="Times New Roman"/>
          <w:sz w:val="28"/>
          <w:szCs w:val="28"/>
        </w:rPr>
        <w:t>（1）大气环境：规划期末</w:t>
      </w:r>
      <w:r>
        <w:rPr>
          <w:rFonts w:hint="default" w:ascii="Times New Roman" w:hAnsi="Times New Roman" w:eastAsia="仿宋_GB2312" w:cs="Times New Roman"/>
          <w:sz w:val="28"/>
          <w:szCs w:val="28"/>
          <w:lang w:val="en-US" w:eastAsia="zh-CN"/>
        </w:rPr>
        <w:t>集中</w:t>
      </w:r>
      <w:r>
        <w:rPr>
          <w:rFonts w:hint="default" w:ascii="Times New Roman" w:hAnsi="Times New Roman" w:eastAsia="仿宋_GB2312" w:cs="Times New Roman"/>
          <w:sz w:val="28"/>
          <w:szCs w:val="28"/>
        </w:rPr>
        <w:t>区排放</w:t>
      </w:r>
      <w:r>
        <w:rPr>
          <w:rFonts w:hint="default" w:ascii="Times New Roman" w:hAnsi="Times New Roman" w:eastAsia="仿宋_GB2312" w:cs="Times New Roman"/>
          <w:bCs/>
          <w:sz w:val="28"/>
          <w:szCs w:val="28"/>
        </w:rPr>
        <w:t>的</w:t>
      </w:r>
      <w:bookmarkStart w:id="25" w:name="_Hlk132809202"/>
      <w:r>
        <w:rPr>
          <w:rFonts w:hint="default" w:ascii="Times New Roman" w:hAnsi="Times New Roman" w:eastAsia="仿宋_GB2312" w:cs="Times New Roman"/>
          <w:bCs/>
          <w:sz w:val="28"/>
          <w:szCs w:val="28"/>
        </w:rPr>
        <w:t>SO</w:t>
      </w:r>
      <w:r>
        <w:rPr>
          <w:rFonts w:hint="default" w:ascii="Times New Roman" w:hAnsi="Times New Roman" w:eastAsia="仿宋_GB2312" w:cs="Times New Roman"/>
          <w:bCs/>
          <w:sz w:val="28"/>
          <w:szCs w:val="28"/>
          <w:vertAlign w:val="subscript"/>
        </w:rPr>
        <w:t>2</w:t>
      </w:r>
      <w:r>
        <w:rPr>
          <w:rFonts w:hint="default" w:ascii="Times New Roman" w:hAnsi="Times New Roman" w:eastAsia="仿宋_GB2312" w:cs="Times New Roman"/>
          <w:bCs/>
          <w:sz w:val="28"/>
          <w:szCs w:val="28"/>
        </w:rPr>
        <w:t>、NO</w:t>
      </w:r>
      <w:r>
        <w:rPr>
          <w:rFonts w:hint="default" w:ascii="Times New Roman" w:hAnsi="Times New Roman" w:eastAsia="仿宋_GB2312" w:cs="Times New Roman"/>
          <w:bCs/>
          <w:sz w:val="28"/>
          <w:szCs w:val="28"/>
          <w:vertAlign w:val="subscript"/>
        </w:rPr>
        <w:t>2</w:t>
      </w:r>
      <w:r>
        <w:rPr>
          <w:rFonts w:hint="default" w:ascii="Times New Roman" w:hAnsi="Times New Roman" w:eastAsia="仿宋_GB2312" w:cs="Times New Roman"/>
          <w:bCs/>
          <w:sz w:val="28"/>
          <w:szCs w:val="28"/>
        </w:rPr>
        <w:t>、PM</w:t>
      </w:r>
      <w:r>
        <w:rPr>
          <w:rFonts w:hint="default" w:ascii="Times New Roman" w:hAnsi="Times New Roman" w:eastAsia="仿宋_GB2312" w:cs="Times New Roman"/>
          <w:bCs/>
          <w:sz w:val="28"/>
          <w:szCs w:val="28"/>
          <w:vertAlign w:val="subscript"/>
        </w:rPr>
        <w:t>10</w:t>
      </w:r>
      <w:r>
        <w:rPr>
          <w:rFonts w:hint="default" w:ascii="Times New Roman" w:hAnsi="Times New Roman" w:cs="Times New Roman"/>
          <w:color w:val="000000" w:themeColor="text1"/>
          <w:sz w:val="28"/>
          <w:szCs w:val="28"/>
          <w14:textFill>
            <w14:solidFill>
              <w14:schemeClr w14:val="tx1"/>
            </w14:solidFill>
          </w14:textFill>
        </w:rPr>
        <w:t>、PM</w:t>
      </w:r>
      <w:r>
        <w:rPr>
          <w:rFonts w:hint="default" w:ascii="Times New Roman" w:hAnsi="Times New Roman" w:cs="Times New Roman"/>
          <w:color w:val="000000" w:themeColor="text1"/>
          <w:sz w:val="28"/>
          <w:szCs w:val="28"/>
          <w:vertAlign w:val="subscript"/>
          <w14:textFill>
            <w14:solidFill>
              <w14:schemeClr w14:val="tx1"/>
            </w14:solidFill>
          </w14:textFill>
        </w:rPr>
        <w:t>2.5</w:t>
      </w:r>
      <w:r>
        <w:rPr>
          <w:rFonts w:hint="default" w:ascii="Times New Roman" w:hAnsi="Times New Roman" w:eastAsia="仿宋_GB2312" w:cs="Times New Roman"/>
          <w:sz w:val="28"/>
          <w:szCs w:val="28"/>
        </w:rPr>
        <w:t>的保证率日平均浓度和年平均质量浓度均符合二类区环境质量标准；特征污染物</w:t>
      </w:r>
      <w:bookmarkEnd w:id="25"/>
      <w:r>
        <w:rPr>
          <w:rFonts w:hint="default" w:ascii="Times New Roman" w:hAnsi="Times New Roman" w:eastAsia="仿宋_GB2312" w:cs="Times New Roman"/>
          <w:bCs/>
          <w:sz w:val="28"/>
          <w:szCs w:val="28"/>
        </w:rPr>
        <w:t>VOCs、氟化物、氯化氢、硫酸雾、氨、硫化氢对区域</w:t>
      </w:r>
      <w:r>
        <w:rPr>
          <w:rFonts w:hint="default" w:ascii="Times New Roman" w:hAnsi="Times New Roman" w:eastAsia="仿宋_GB2312" w:cs="Times New Roman"/>
          <w:sz w:val="28"/>
          <w:szCs w:val="28"/>
        </w:rPr>
        <w:t>及周边大气环境的浓度贡献值叠加现状监测值后，均能够满足环境空气质量标准的要求，不会改变周边的大气环境功能，对区域内大气污染物的影响可接受。</w:t>
      </w:r>
    </w:p>
    <w:p w14:paraId="1AFAA15E">
      <w:pPr>
        <w:spacing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（2）地表水环境：</w:t>
      </w:r>
      <w:bookmarkStart w:id="26" w:name="_Hlk132809225"/>
      <w:r>
        <w:rPr>
          <w:rFonts w:hint="default" w:ascii="Times New Roman" w:hAnsi="Times New Roman" w:eastAsia="仿宋_GB2312" w:cs="Times New Roman"/>
          <w:sz w:val="28"/>
          <w:szCs w:val="28"/>
        </w:rPr>
        <w:t>规划期末</w:t>
      </w:r>
      <w:r>
        <w:rPr>
          <w:rFonts w:hint="default" w:ascii="Times New Roman" w:hAnsi="Times New Roman" w:eastAsia="仿宋_GB2312" w:cs="Times New Roman"/>
          <w:sz w:val="28"/>
          <w:szCs w:val="28"/>
          <w:lang w:val="en-US" w:eastAsia="zh-CN"/>
        </w:rPr>
        <w:t>集中区企业废水接管至启东市城市水处理有限公司进行处理，新建排放含重金属、难生化降解废水、含氟废水等的企业，设多厂专管接入工业污水预处理单元。</w:t>
      </w:r>
      <w:r>
        <w:rPr>
          <w:rFonts w:hint="default" w:ascii="Times New Roman" w:hAnsi="Times New Roman" w:eastAsia="仿宋_GB2312" w:cs="Times New Roman"/>
          <w:sz w:val="28"/>
          <w:szCs w:val="28"/>
        </w:rPr>
        <w:t>启东市城市水处理有限公司尾水经专管排入长江，尾水执行《城镇污水处理厂污染物排放标准》（GB18918-2002）一级A标准，自2026年3月28日，尾水执行《城镇污水处理厂污染物排放标准》（DB32/4440-2022）表1 B标准。根据《启东市城市污水处理厂三期工程环境影响报告书》水环境影响预测结论，正常工况下，污水处理厂尾水对断面水质影响相对较小，不会降低长江水体功能质量。因此，从水量、水质的角度分析，</w:t>
      </w:r>
      <w:r>
        <w:rPr>
          <w:rFonts w:hint="default" w:ascii="Times New Roman" w:hAnsi="Times New Roman" w:eastAsia="仿宋_GB2312" w:cs="Times New Roman"/>
          <w:sz w:val="28"/>
          <w:szCs w:val="28"/>
          <w:lang w:val="en-US" w:eastAsia="zh-CN"/>
        </w:rPr>
        <w:t>集中区</w:t>
      </w:r>
      <w:r>
        <w:rPr>
          <w:rFonts w:hint="default" w:ascii="Times New Roman" w:hAnsi="Times New Roman" w:eastAsia="仿宋_GB2312" w:cs="Times New Roman"/>
          <w:sz w:val="28"/>
          <w:szCs w:val="28"/>
        </w:rPr>
        <w:t>废水接管至启东市城市水处理有限公司是可行的。</w:t>
      </w:r>
      <w:bookmarkEnd w:id="26"/>
    </w:p>
    <w:p w14:paraId="1C0D6426">
      <w:pPr>
        <w:spacing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（3）地下水环境：根据地下水环境影响预测评价结果，</w:t>
      </w:r>
      <w:bookmarkStart w:id="27" w:name="_Hlk69203546"/>
      <w:r>
        <w:rPr>
          <w:rFonts w:hint="default" w:ascii="Times New Roman" w:hAnsi="Times New Roman" w:eastAsia="仿宋_GB2312" w:cs="Times New Roman"/>
          <w:sz w:val="28"/>
          <w:szCs w:val="28"/>
          <w:lang w:bidi="ar"/>
        </w:rPr>
        <w:t>根据地下水环境预测结果，</w:t>
      </w:r>
      <w:bookmarkEnd w:id="27"/>
      <w:r>
        <w:rPr>
          <w:rFonts w:hint="default" w:ascii="Times New Roman" w:hAnsi="Times New Roman" w:eastAsia="仿宋_GB2312" w:cs="Times New Roman"/>
          <w:sz w:val="28"/>
          <w:szCs w:val="28"/>
          <w:lang w:bidi="ar"/>
        </w:rPr>
        <w:t>在启东乾朔电子有限公司</w:t>
      </w:r>
      <w:bookmarkStart w:id="39" w:name="_GoBack"/>
      <w:bookmarkEnd w:id="39"/>
      <w:r>
        <w:rPr>
          <w:rFonts w:hint="default" w:ascii="Times New Roman" w:hAnsi="Times New Roman" w:eastAsia="仿宋_GB2312" w:cs="Times New Roman"/>
          <w:sz w:val="28"/>
          <w:szCs w:val="28"/>
          <w:lang w:bidi="ar"/>
        </w:rPr>
        <w:t>废水预处理单元污水处理装置防渗层发生开裂、老化等现象造成污水在无防渗条件的情况下（非正常工况），会在厂区及周边一定范围内污染地下水；污染物浓度随时间变化过程显示：非正常工况下，污染物运移范围较大。运行7300天后，污水处理站中污染物最大运移距离是35m，可能会影响到周边河流水质，因此</w:t>
      </w:r>
      <w:r>
        <w:rPr>
          <w:rFonts w:hint="default" w:ascii="Times New Roman" w:hAnsi="Times New Roman" w:eastAsia="仿宋_GB2312" w:cs="Times New Roman"/>
          <w:sz w:val="28"/>
          <w:szCs w:val="28"/>
          <w:lang w:val="en-US" w:eastAsia="zh-CN" w:bidi="ar"/>
        </w:rPr>
        <w:t>集中区</w:t>
      </w:r>
      <w:r>
        <w:rPr>
          <w:rFonts w:hint="default" w:ascii="Times New Roman" w:hAnsi="Times New Roman" w:eastAsia="仿宋_GB2312" w:cs="Times New Roman"/>
          <w:sz w:val="28"/>
          <w:szCs w:val="28"/>
          <w:lang w:bidi="ar"/>
        </w:rPr>
        <w:t>应加强日常监管，杜绝此类事件的发生。</w:t>
      </w:r>
    </w:p>
    <w:p w14:paraId="48C7C6D8">
      <w:pPr>
        <w:spacing w:line="500" w:lineRule="exact"/>
        <w:ind w:firstLine="560" w:firstLineChars="200"/>
        <w:rPr>
          <w:rFonts w:hint="default" w:ascii="Times New Roman" w:hAnsi="Times New Roman" w:eastAsia="仿宋_GB2312" w:cs="Times New Roman"/>
          <w:bCs/>
          <w:sz w:val="28"/>
          <w:szCs w:val="28"/>
        </w:rPr>
      </w:pPr>
      <w:r>
        <w:rPr>
          <w:rFonts w:hint="default" w:ascii="Times New Roman" w:hAnsi="Times New Roman" w:eastAsia="仿宋_GB2312" w:cs="Times New Roman"/>
          <w:bCs/>
          <w:sz w:val="28"/>
          <w:szCs w:val="28"/>
        </w:rPr>
        <w:t>（4）声环境：</w:t>
      </w:r>
      <w:r>
        <w:rPr>
          <w:rFonts w:hint="default" w:ascii="Times New Roman" w:hAnsi="Times New Roman" w:eastAsia="仿宋_GB2312" w:cs="Times New Roman"/>
          <w:sz w:val="28"/>
          <w:szCs w:val="28"/>
          <w:lang w:val="en-US" w:eastAsia="zh-CN" w:bidi="ar"/>
        </w:rPr>
        <w:t>集中区</w:t>
      </w:r>
      <w:r>
        <w:rPr>
          <w:rFonts w:hint="default" w:ascii="Times New Roman" w:hAnsi="Times New Roman" w:eastAsia="仿宋_GB2312" w:cs="Times New Roman"/>
          <w:sz w:val="28"/>
          <w:szCs w:val="28"/>
          <w:lang w:bidi="ar"/>
        </w:rPr>
        <w:t>规划期末声环境质量可满足功能区要求，</w:t>
      </w:r>
      <w:r>
        <w:rPr>
          <w:rFonts w:hint="default" w:ascii="Times New Roman" w:hAnsi="Times New Roman" w:eastAsia="仿宋_GB2312" w:cs="Times New Roman"/>
          <w:sz w:val="28"/>
          <w:szCs w:val="28"/>
          <w:lang w:val="en-US" w:eastAsia="zh-CN" w:bidi="ar"/>
        </w:rPr>
        <w:t>集中区</w:t>
      </w:r>
      <w:r>
        <w:rPr>
          <w:rFonts w:hint="default" w:ascii="Times New Roman" w:hAnsi="Times New Roman" w:eastAsia="仿宋_GB2312" w:cs="Times New Roman"/>
          <w:sz w:val="28"/>
          <w:szCs w:val="28"/>
          <w:lang w:bidi="ar"/>
        </w:rPr>
        <w:t>应采取优化布局，加强对交通、工业生产、施工等噪声源的控制和监督等措施预防声环境污染，保证区内办公功能不受干扰。</w:t>
      </w:r>
    </w:p>
    <w:p w14:paraId="3324196C">
      <w:pPr>
        <w:spacing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（5）土壤环境：</w:t>
      </w:r>
      <w:r>
        <w:rPr>
          <w:rFonts w:hint="default" w:ascii="Times New Roman" w:hAnsi="Times New Roman" w:eastAsia="仿宋_GB2312" w:cs="Times New Roman"/>
          <w:sz w:val="28"/>
          <w:szCs w:val="28"/>
          <w:lang w:val="en-US" w:eastAsia="zh-CN"/>
        </w:rPr>
        <w:t>集中区</w:t>
      </w:r>
      <w:r>
        <w:rPr>
          <w:rFonts w:hint="default" w:ascii="Times New Roman" w:hAnsi="Times New Roman" w:eastAsia="仿宋_GB2312" w:cs="Times New Roman"/>
          <w:sz w:val="28"/>
          <w:szCs w:val="28"/>
        </w:rPr>
        <w:t>建成地块的工业企业在正常情况下对土壤环境基本无影响。当区内企业所使用的有毒有害原辅材料发生泄漏的情况下对泄漏点附近的土壤造成一定的影响，但是一般对周边的表层土壤影响很小。危废暂存设施利用防渗结构阻止渗滤液中的污染物向周边土壤环境中迁移，正常情况下对周边土壤影响较小。在</w:t>
      </w:r>
      <w:r>
        <w:rPr>
          <w:rFonts w:hint="default" w:ascii="Times New Roman" w:hAnsi="Times New Roman" w:eastAsia="仿宋_GB2312" w:cs="Times New Roman"/>
          <w:sz w:val="28"/>
          <w:szCs w:val="28"/>
          <w:lang w:val="en-US" w:eastAsia="zh-CN"/>
        </w:rPr>
        <w:t>集中区</w:t>
      </w:r>
      <w:r>
        <w:rPr>
          <w:rFonts w:hint="default" w:ascii="Times New Roman" w:hAnsi="Times New Roman" w:eastAsia="仿宋_GB2312" w:cs="Times New Roman"/>
          <w:sz w:val="28"/>
          <w:szCs w:val="28"/>
        </w:rPr>
        <w:t>对固体废物临时堆放场所和运输途径严格管理，并做好区内总体绿化工作的前提下，</w:t>
      </w:r>
      <w:r>
        <w:rPr>
          <w:rFonts w:hint="default" w:ascii="Times New Roman" w:hAnsi="Times New Roman" w:eastAsia="仿宋_GB2312" w:cs="Times New Roman"/>
          <w:sz w:val="28"/>
          <w:szCs w:val="28"/>
          <w:lang w:val="en-US" w:eastAsia="zh-CN"/>
        </w:rPr>
        <w:t>集中区</w:t>
      </w:r>
      <w:r>
        <w:rPr>
          <w:rFonts w:hint="default" w:ascii="Times New Roman" w:hAnsi="Times New Roman" w:eastAsia="仿宋_GB2312" w:cs="Times New Roman"/>
          <w:sz w:val="28"/>
          <w:szCs w:val="28"/>
        </w:rPr>
        <w:t>建设对土壤环境影响较小。</w:t>
      </w:r>
    </w:p>
    <w:p w14:paraId="0AF00C9E">
      <w:pPr>
        <w:spacing w:line="500" w:lineRule="exact"/>
        <w:ind w:firstLine="560" w:firstLineChars="200"/>
        <w:rPr>
          <w:rFonts w:hint="default" w:ascii="Times New Roman" w:hAnsi="Times New Roman" w:eastAsia="仿宋_GB2312" w:cs="Times New Roman"/>
          <w:bCs/>
          <w:sz w:val="28"/>
          <w:szCs w:val="28"/>
        </w:rPr>
      </w:pPr>
      <w:r>
        <w:rPr>
          <w:rFonts w:hint="default" w:ascii="Times New Roman" w:hAnsi="Times New Roman" w:eastAsia="仿宋_GB2312" w:cs="Times New Roman"/>
          <w:bCs/>
          <w:sz w:val="28"/>
          <w:szCs w:val="28"/>
        </w:rPr>
        <w:t>（6）生态环境：</w:t>
      </w:r>
      <w:bookmarkStart w:id="28" w:name="_Hlk132809246"/>
      <w:r>
        <w:rPr>
          <w:rFonts w:hint="default" w:ascii="Times New Roman" w:hAnsi="Times New Roman" w:eastAsia="仿宋_GB2312" w:cs="Times New Roman"/>
          <w:bCs/>
          <w:sz w:val="28"/>
          <w:szCs w:val="28"/>
          <w:lang w:val="en-US" w:eastAsia="zh-CN"/>
        </w:rPr>
        <w:t>集中区</w:t>
      </w:r>
      <w:r>
        <w:rPr>
          <w:rFonts w:hint="default" w:ascii="Times New Roman" w:hAnsi="Times New Roman" w:eastAsia="仿宋_GB2312" w:cs="Times New Roman"/>
          <w:bCs/>
          <w:sz w:val="28"/>
          <w:szCs w:val="28"/>
        </w:rPr>
        <w:t>规划范围内现状用地构成主要为</w:t>
      </w:r>
      <w:r>
        <w:rPr>
          <w:rFonts w:hint="default" w:ascii="Times New Roman" w:hAnsi="Times New Roman" w:eastAsia="仿宋_GB2312" w:cs="Times New Roman"/>
          <w:bCs/>
          <w:sz w:val="28"/>
          <w:szCs w:val="28"/>
          <w:lang w:val="en-US" w:eastAsia="zh-CN"/>
        </w:rPr>
        <w:t>居住</w:t>
      </w:r>
      <w:r>
        <w:rPr>
          <w:rFonts w:hint="default" w:ascii="Times New Roman" w:hAnsi="Times New Roman" w:eastAsia="仿宋_GB2312" w:cs="Times New Roman"/>
          <w:bCs/>
          <w:sz w:val="28"/>
          <w:szCs w:val="28"/>
        </w:rPr>
        <w:t>用地</w:t>
      </w:r>
      <w:r>
        <w:rPr>
          <w:rFonts w:hint="default" w:ascii="Times New Roman" w:hAnsi="Times New Roman" w:eastAsia="仿宋_GB2312" w:cs="Times New Roman"/>
          <w:bCs/>
          <w:sz w:val="28"/>
          <w:szCs w:val="28"/>
          <w:lang w:val="en-US" w:eastAsia="zh-CN"/>
        </w:rPr>
        <w:t>和交通运输用地</w:t>
      </w:r>
      <w:r>
        <w:rPr>
          <w:rFonts w:hint="default" w:ascii="Times New Roman" w:hAnsi="Times New Roman" w:eastAsia="仿宋_GB2312" w:cs="Times New Roman"/>
          <w:bCs/>
          <w:sz w:val="28"/>
          <w:szCs w:val="28"/>
        </w:rPr>
        <w:t>，后续发展过程中通过合理地规划与建设能在很大程度上减轻对生态环境的不利影响，基本维持生态环境质量。</w:t>
      </w:r>
      <w:bookmarkEnd w:id="28"/>
    </w:p>
    <w:p w14:paraId="53FC04EF">
      <w:pPr>
        <w:spacing w:line="500" w:lineRule="exact"/>
        <w:ind w:firstLine="560" w:firstLineChars="200"/>
        <w:rPr>
          <w:rFonts w:eastAsia="仿宋_GB2312"/>
          <w:sz w:val="28"/>
          <w:szCs w:val="28"/>
        </w:rPr>
        <w:sectPr>
          <w:pgSz w:w="11906" w:h="16838"/>
          <w:pgMar w:top="1440" w:right="1800" w:bottom="1440" w:left="1800" w:header="851" w:footer="992" w:gutter="0"/>
          <w:cols w:space="425" w:num="1"/>
          <w:docGrid w:type="lines" w:linePitch="312" w:charSpace="0"/>
        </w:sectPr>
      </w:pPr>
      <w:r>
        <w:rPr>
          <w:rFonts w:hint="default" w:ascii="Times New Roman" w:hAnsi="Times New Roman" w:eastAsia="仿宋_GB2312" w:cs="Times New Roman"/>
          <w:bCs/>
          <w:sz w:val="28"/>
          <w:szCs w:val="28"/>
        </w:rPr>
        <w:t>（7）环境风险评价：</w:t>
      </w:r>
      <w:r>
        <w:rPr>
          <w:rFonts w:hint="default" w:ascii="Times New Roman" w:hAnsi="Times New Roman" w:eastAsia="仿宋_GB2312" w:cs="Times New Roman"/>
          <w:bCs/>
          <w:sz w:val="28"/>
          <w:szCs w:val="28"/>
          <w:lang w:val="en-US" w:eastAsia="zh-CN"/>
        </w:rPr>
        <w:t>集中区</w:t>
      </w:r>
      <w:r>
        <w:rPr>
          <w:rFonts w:hint="default" w:ascii="Times New Roman" w:hAnsi="Times New Roman" w:eastAsia="仿宋_GB2312" w:cs="Times New Roman"/>
          <w:bCs/>
          <w:sz w:val="28"/>
          <w:szCs w:val="28"/>
        </w:rPr>
        <w:t>内各企业生产过程中涉及易燃易爆及有毒有害的危险性物质，主要风险事故类型为有毒物质泄漏、火灾爆炸以及环境保护设施故障等引发的污染物排放。在综合考虑</w:t>
      </w:r>
      <w:r>
        <w:rPr>
          <w:rFonts w:hint="default" w:ascii="Times New Roman" w:hAnsi="Times New Roman" w:eastAsia="仿宋_GB2312" w:cs="Times New Roman"/>
          <w:bCs/>
          <w:sz w:val="28"/>
          <w:szCs w:val="28"/>
          <w:lang w:val="en-US" w:eastAsia="zh-CN"/>
        </w:rPr>
        <w:t>集中区</w:t>
      </w:r>
      <w:r>
        <w:rPr>
          <w:rFonts w:hint="default" w:ascii="Times New Roman" w:hAnsi="Times New Roman" w:eastAsia="仿宋_GB2312" w:cs="Times New Roman"/>
          <w:bCs/>
          <w:sz w:val="28"/>
          <w:szCs w:val="28"/>
        </w:rPr>
        <w:t>产业危险性物质及规划布局等因素的基础上，主要考虑</w:t>
      </w:r>
      <w:r>
        <w:rPr>
          <w:rFonts w:hint="default" w:ascii="Times New Roman" w:hAnsi="Times New Roman" w:eastAsia="仿宋_GB2312" w:cs="Times New Roman"/>
          <w:sz w:val="28"/>
          <w:szCs w:val="28"/>
          <w:lang w:bidi="ar"/>
        </w:rPr>
        <w:t>启东乾朔电子有限公司</w:t>
      </w:r>
      <w:r>
        <w:rPr>
          <w:rFonts w:hint="default" w:ascii="Times New Roman" w:hAnsi="Times New Roman" w:eastAsia="仿宋_GB2312" w:cs="Times New Roman"/>
          <w:bCs/>
          <w:sz w:val="28"/>
          <w:szCs w:val="28"/>
          <w:lang w:val="en-US" w:eastAsia="zh-CN"/>
        </w:rPr>
        <w:t>氨水储桶</w:t>
      </w:r>
      <w:r>
        <w:rPr>
          <w:rFonts w:hint="default" w:ascii="Times New Roman" w:hAnsi="Times New Roman" w:eastAsia="仿宋_GB2312" w:cs="Times New Roman"/>
          <w:bCs/>
          <w:sz w:val="28"/>
          <w:szCs w:val="28"/>
        </w:rPr>
        <w:t>泄露、</w:t>
      </w:r>
      <w:r>
        <w:rPr>
          <w:rFonts w:hint="default" w:ascii="Times New Roman" w:hAnsi="Times New Roman" w:eastAsia="仿宋_GB2312" w:cs="Times New Roman"/>
          <w:bCs/>
          <w:sz w:val="28"/>
          <w:szCs w:val="28"/>
          <w:lang w:val="en-US" w:eastAsia="zh-CN"/>
        </w:rPr>
        <w:t>装备制造企业油漆</w:t>
      </w:r>
      <w:r>
        <w:rPr>
          <w:rFonts w:hint="default" w:ascii="Times New Roman" w:hAnsi="Times New Roman" w:eastAsia="仿宋_GB2312" w:cs="Times New Roman"/>
          <w:bCs/>
          <w:sz w:val="28"/>
          <w:szCs w:val="28"/>
        </w:rPr>
        <w:t>储桶泄漏发生火灾和</w:t>
      </w:r>
      <w:r>
        <w:rPr>
          <w:rFonts w:hint="default" w:ascii="Times New Roman" w:hAnsi="Times New Roman" w:eastAsia="仿宋_GB2312" w:cs="Times New Roman"/>
          <w:bCs/>
          <w:sz w:val="28"/>
          <w:szCs w:val="28"/>
          <w:lang w:val="en-US" w:eastAsia="zh-CN"/>
        </w:rPr>
        <w:t>集中区</w:t>
      </w:r>
      <w:r>
        <w:rPr>
          <w:rFonts w:hint="default" w:ascii="Times New Roman" w:hAnsi="Times New Roman" w:eastAsia="仿宋_GB2312" w:cs="Times New Roman"/>
          <w:bCs/>
          <w:sz w:val="28"/>
          <w:szCs w:val="28"/>
        </w:rPr>
        <w:t>企业废水事故排放作为</w:t>
      </w:r>
      <w:r>
        <w:rPr>
          <w:rFonts w:hint="default" w:ascii="Times New Roman" w:hAnsi="Times New Roman" w:eastAsia="仿宋_GB2312" w:cs="Times New Roman"/>
          <w:bCs/>
          <w:sz w:val="28"/>
          <w:szCs w:val="28"/>
          <w:lang w:val="en-US" w:eastAsia="zh-CN"/>
        </w:rPr>
        <w:t>集中区</w:t>
      </w:r>
      <w:r>
        <w:rPr>
          <w:rFonts w:hint="default" w:ascii="Times New Roman" w:hAnsi="Times New Roman" w:eastAsia="仿宋_GB2312" w:cs="Times New Roman"/>
          <w:bCs/>
          <w:sz w:val="28"/>
          <w:szCs w:val="28"/>
        </w:rPr>
        <w:t>的最大可信事故，根据环境风险影响结果，污染物扩散可控制在厂区内及周边，对周边敏感目标影响可接受。</w:t>
      </w:r>
      <w:r>
        <w:rPr>
          <w:rFonts w:hint="default" w:ascii="Times New Roman" w:hAnsi="Times New Roman" w:eastAsia="仿宋_GB2312" w:cs="Times New Roman"/>
          <w:bCs/>
          <w:sz w:val="28"/>
          <w:szCs w:val="28"/>
          <w:lang w:val="en-US" w:eastAsia="zh-CN"/>
        </w:rPr>
        <w:t>集中区</w:t>
      </w:r>
      <w:r>
        <w:rPr>
          <w:rFonts w:hint="default" w:ascii="Times New Roman" w:hAnsi="Times New Roman" w:eastAsia="仿宋_GB2312" w:cs="Times New Roman"/>
          <w:bCs/>
          <w:sz w:val="28"/>
          <w:szCs w:val="28"/>
        </w:rPr>
        <w:t>在本轮规划建设过程中需提升事故状态的应急响应能力，必须加强事故防范，杜绝事故发生。一旦发生环境风险事故，必须在最短时间内采取应急措施，以尽可能降低对人员的伤害，控制事故影响程度。</w:t>
      </w:r>
    </w:p>
    <w:bookmarkEnd w:id="24"/>
    <w:p w14:paraId="1BEEC724">
      <w:pPr>
        <w:pStyle w:val="2"/>
      </w:pPr>
      <w:bookmarkStart w:id="29" w:name="_Toc24532"/>
      <w:r>
        <w:t>5 规划方案综合论证</w:t>
      </w:r>
      <w:bookmarkEnd w:id="29"/>
    </w:p>
    <w:p w14:paraId="291FCE0C">
      <w:pPr>
        <w:spacing w:line="500" w:lineRule="exact"/>
        <w:ind w:firstLine="560"/>
        <w:rPr>
          <w:rFonts w:hint="eastAsia" w:eastAsia="仿宋_GB2312"/>
          <w:sz w:val="28"/>
          <w:szCs w:val="28"/>
          <w:lang w:val="en-US" w:eastAsia="zh-CN"/>
        </w:rPr>
      </w:pPr>
      <w:r>
        <w:rPr>
          <w:rFonts w:hint="eastAsia" w:eastAsia="仿宋_GB2312"/>
          <w:sz w:val="28"/>
          <w:szCs w:val="28"/>
          <w:lang w:val="en-US" w:eastAsia="zh-CN"/>
        </w:rPr>
        <w:t>集中区本轮规划发展目标与</w:t>
      </w:r>
      <w:r>
        <w:rPr>
          <w:rFonts w:hint="eastAsia" w:eastAsia="仿宋_GB2312"/>
          <w:sz w:val="28"/>
          <w:szCs w:val="28"/>
        </w:rPr>
        <w:t>《长江三角洲区域一体化发展规划纲要》、《江苏省国民经济和社会发展第十四个五年规划和二〇三五年远景目标纲要》、《南通市国民经济和社会发展第十四个五年规划和二〇三五年远景目标纲要》、《启东市国土空间总体规划（2021-2035年）》</w:t>
      </w:r>
      <w:r>
        <w:rPr>
          <w:rFonts w:hint="eastAsia" w:eastAsia="仿宋_GB2312"/>
          <w:sz w:val="28"/>
          <w:szCs w:val="28"/>
          <w:lang w:val="en-US" w:eastAsia="zh-CN"/>
        </w:rPr>
        <w:t>等要求相符合；规划发展产业与</w:t>
      </w:r>
      <w:r>
        <w:rPr>
          <w:rFonts w:hint="eastAsia" w:ascii="Times New Roman" w:hAnsi="Times New Roman" w:eastAsia="仿宋_GB2312"/>
          <w:sz w:val="28"/>
          <w:szCs w:val="28"/>
        </w:rPr>
        <w:t>《产业结构调整指导目录（2024年本）》、《鼓励外商投资产业目录》（2022年版）、《产业转移指导目录（2018年本）》、《长江经济带发展负面清单指南（试行，2022年版）》</w:t>
      </w:r>
      <w:r>
        <w:rPr>
          <w:rFonts w:hint="eastAsia" w:eastAsia="仿宋_GB2312"/>
          <w:sz w:val="28"/>
          <w:szCs w:val="28"/>
          <w:lang w:val="en-US" w:eastAsia="zh-CN"/>
        </w:rPr>
        <w:t>等要求相符合。在生态环境保护方面与</w:t>
      </w:r>
      <w:r>
        <w:rPr>
          <w:rFonts w:hint="eastAsia" w:eastAsia="仿宋_GB2312"/>
          <w:sz w:val="28"/>
          <w:szCs w:val="28"/>
        </w:rPr>
        <w:t>《中共中央 国务院关于深入打好污染防治攻坚战的意见》（2021年11月2日）、《国务院关于印发2030年前碳达峰行动方案的通知》（国发〔2021〕23号）、《关于印发江苏省工业园区（集中区）污染物排放限值限量管理工作方案（试行）的通知》（苏污防攻坚指办〔2021〕56号）、《江苏省长江水污染防治条例》、《省政府办公厅关于加快推进城市污水处理能力建设全面提升污水集中收集处理率的实施意见》（苏政办发〔2022〕42号）、《江苏省工业废水与生活污水分质处理工作推进方案》的通知（苏政办〔2023〕144号）、《江苏省地表水氟化物污染治理工作方案（2023-2025年）》（苏污防攻坚指办〔2023〕2号）、《“十四五”噪声污染防治行动计划》（环大气〔2023〕1号）、《江苏省“十四五”生态环境保护规划》（苏政发〔2021〕84号）、《省政府关于印发江苏省碳达峰实施方案的通知》（苏政发〔2022〕88号）、《关于深入打好污染防治攻坚战的实施意见》（苏发〔2022〕3号）、《江苏省土壤污染防治条例》（2022年9月1日起施行）、《江苏省地表水氟化物污染治理工作方案（2023—2025年）》</w:t>
      </w:r>
      <w:r>
        <w:rPr>
          <w:rFonts w:hint="eastAsia" w:eastAsia="仿宋_GB2312"/>
          <w:sz w:val="28"/>
          <w:szCs w:val="28"/>
          <w:lang w:val="en-US" w:eastAsia="zh-CN"/>
        </w:rPr>
        <w:t>等相关环境保护法规、政策及规划要求相符合。对照启东市“三区三线”划定成果（城镇开发边界、永久基本农田、生态保护红线），集中区本轮规划范围部分区域均位于城镇开发边界内，不涉及生态保护红线，不涉及永久基本农田保护区。综上所述，集中区本轮规划在发展目标、产业定位、产业发展规模、空间布局、产业布局规划以及基础设施规划等方面具有一定环境合理性。</w:t>
      </w:r>
    </w:p>
    <w:p w14:paraId="54499F95">
      <w:pPr>
        <w:spacing w:line="500" w:lineRule="exact"/>
        <w:rPr>
          <w:rFonts w:eastAsia="仿宋_GB2312"/>
          <w:sz w:val="28"/>
          <w:szCs w:val="28"/>
        </w:rPr>
      </w:pPr>
    </w:p>
    <w:p w14:paraId="6A380091">
      <w:pPr>
        <w:sectPr>
          <w:pgSz w:w="11906" w:h="16838"/>
          <w:pgMar w:top="1440" w:right="1800" w:bottom="1440" w:left="1800" w:header="851" w:footer="992" w:gutter="0"/>
          <w:cols w:space="425" w:num="1"/>
          <w:docGrid w:type="lines" w:linePitch="312" w:charSpace="0"/>
        </w:sectPr>
      </w:pPr>
    </w:p>
    <w:p w14:paraId="017AAB26">
      <w:pPr>
        <w:pStyle w:val="2"/>
      </w:pPr>
      <w:bookmarkStart w:id="30" w:name="_Toc20898"/>
      <w:r>
        <w:t>6 环境影响减缓措施</w:t>
      </w:r>
      <w:bookmarkEnd w:id="30"/>
    </w:p>
    <w:p w14:paraId="5A047691">
      <w:pPr>
        <w:spacing w:line="500" w:lineRule="exact"/>
        <w:ind w:firstLine="562" w:firstLineChars="200"/>
        <w:rPr>
          <w:rFonts w:eastAsia="仿宋_GB2312"/>
          <w:b/>
          <w:bCs/>
          <w:sz w:val="28"/>
          <w:szCs w:val="28"/>
        </w:rPr>
      </w:pPr>
      <w:r>
        <w:rPr>
          <w:rFonts w:eastAsia="仿宋_GB2312"/>
          <w:b/>
          <w:bCs/>
          <w:sz w:val="28"/>
          <w:szCs w:val="28"/>
        </w:rPr>
        <w:t>（1）大气环境</w:t>
      </w:r>
    </w:p>
    <w:p w14:paraId="7845877E">
      <w:pPr>
        <w:spacing w:line="500" w:lineRule="exact"/>
        <w:ind w:firstLine="560" w:firstLineChars="200"/>
        <w:rPr>
          <w:rFonts w:eastAsia="仿宋_GB2312"/>
          <w:sz w:val="28"/>
          <w:szCs w:val="28"/>
        </w:rPr>
      </w:pPr>
      <w:r>
        <w:rPr>
          <w:rFonts w:eastAsia="仿宋_GB2312"/>
          <w:sz w:val="28"/>
          <w:szCs w:val="28"/>
        </w:rPr>
        <w:t>优化</w:t>
      </w:r>
      <w:r>
        <w:rPr>
          <w:rFonts w:hint="eastAsia" w:eastAsia="仿宋_GB2312"/>
          <w:sz w:val="28"/>
          <w:szCs w:val="28"/>
        </w:rPr>
        <w:t>集中区</w:t>
      </w:r>
      <w:r>
        <w:rPr>
          <w:rFonts w:eastAsia="仿宋_GB2312"/>
          <w:sz w:val="28"/>
          <w:szCs w:val="28"/>
        </w:rPr>
        <w:t>能源结构，源头削减大气污染物排放</w:t>
      </w:r>
      <w:bookmarkStart w:id="31" w:name="_Hlk55466654"/>
      <w:r>
        <w:rPr>
          <w:rFonts w:eastAsia="仿宋_GB2312"/>
          <w:sz w:val="28"/>
          <w:szCs w:val="28"/>
        </w:rPr>
        <w:t>；</w:t>
      </w:r>
      <w:r>
        <w:rPr>
          <w:rFonts w:eastAsia="仿宋_GB2312"/>
          <w:sz w:val="28"/>
        </w:rPr>
        <w:t>严格控制企业生产工艺废气</w:t>
      </w:r>
      <w:bookmarkEnd w:id="31"/>
      <w:r>
        <w:rPr>
          <w:rFonts w:eastAsia="仿宋_GB2312"/>
          <w:sz w:val="28"/>
        </w:rPr>
        <w:t>，</w:t>
      </w:r>
      <w:r>
        <w:rPr>
          <w:rFonts w:eastAsia="仿宋_GB2312"/>
          <w:sz w:val="28"/>
          <w:szCs w:val="28"/>
          <w:lang w:val="zh-CN"/>
        </w:rPr>
        <w:t>加强现有企业废气污染控制，有效控制无组织排放；强化大气污染监管与应急措施，加强对区内企业大气污染物排放的管控力度，对重点排污单位主要排放口安装污染物排放自动监测设备；严格落实大气环境准入条件</w:t>
      </w:r>
      <w:bookmarkStart w:id="32" w:name="_Hlk55466801"/>
      <w:r>
        <w:rPr>
          <w:rFonts w:eastAsia="仿宋_GB2312"/>
          <w:sz w:val="28"/>
          <w:szCs w:val="28"/>
          <w:lang w:val="zh-CN"/>
        </w:rPr>
        <w:t>，提高环保准入门槛，按照国家规定要求严格执行大气污染物特别排放限值；</w:t>
      </w:r>
      <w:r>
        <w:rPr>
          <w:rFonts w:eastAsia="仿宋_GB2312"/>
          <w:sz w:val="28"/>
        </w:rPr>
        <w:t>加强管控建筑工地扬尘</w:t>
      </w:r>
      <w:bookmarkEnd w:id="32"/>
      <w:r>
        <w:rPr>
          <w:rFonts w:eastAsia="仿宋_GB2312"/>
          <w:sz w:val="28"/>
        </w:rPr>
        <w:t>污染。</w:t>
      </w:r>
    </w:p>
    <w:p w14:paraId="1E6BEAE1">
      <w:pPr>
        <w:spacing w:line="500" w:lineRule="exact"/>
        <w:ind w:firstLine="562" w:firstLineChars="200"/>
        <w:rPr>
          <w:rFonts w:eastAsia="仿宋_GB2312"/>
          <w:b/>
          <w:bCs/>
          <w:sz w:val="28"/>
          <w:szCs w:val="28"/>
        </w:rPr>
      </w:pPr>
      <w:r>
        <w:rPr>
          <w:rFonts w:eastAsia="仿宋_GB2312"/>
          <w:b/>
          <w:bCs/>
          <w:sz w:val="28"/>
          <w:szCs w:val="28"/>
        </w:rPr>
        <w:t>（2）地表水</w:t>
      </w:r>
    </w:p>
    <w:p w14:paraId="2D1E8831">
      <w:pPr>
        <w:spacing w:line="500" w:lineRule="exact"/>
        <w:ind w:firstLine="560" w:firstLineChars="200"/>
        <w:rPr>
          <w:rFonts w:eastAsia="仿宋_GB2312"/>
          <w:bCs/>
          <w:sz w:val="28"/>
        </w:rPr>
      </w:pPr>
      <w:r>
        <w:rPr>
          <w:rFonts w:eastAsia="仿宋_GB2312"/>
          <w:bCs/>
          <w:sz w:val="28"/>
        </w:rPr>
        <w:t>严格控制项目准入条件</w:t>
      </w:r>
      <w:r>
        <w:rPr>
          <w:rFonts w:eastAsia="仿宋_GB2312"/>
          <w:bCs/>
          <w:sz w:val="28"/>
          <w:szCs w:val="28"/>
        </w:rPr>
        <w:t>，根据产业发展规划，优先引进用水量少且易处理的项目，严格控制对水环境有较大影响的项目进入区内。入区企业内部废水管理，各企业应按照清污分流、雨污分流原则建立完善的排水系统，确保各类废水得到有效收集和处理。鼓励企业实施清洁生产、采用先进生产工艺，减少废水污染物的产生</w:t>
      </w:r>
      <w:bookmarkStart w:id="33" w:name="_Hlk55466886"/>
      <w:r>
        <w:rPr>
          <w:rFonts w:eastAsia="仿宋_GB2312"/>
          <w:bCs/>
          <w:sz w:val="28"/>
        </w:rPr>
        <w:t>。强化水环境升级治理</w:t>
      </w:r>
      <w:bookmarkEnd w:id="33"/>
      <w:r>
        <w:rPr>
          <w:rFonts w:eastAsia="仿宋_GB2312"/>
          <w:bCs/>
          <w:sz w:val="28"/>
        </w:rPr>
        <w:t>，</w:t>
      </w:r>
      <w:r>
        <w:rPr>
          <w:rFonts w:eastAsia="仿宋_GB2312"/>
          <w:bCs/>
          <w:sz w:val="28"/>
          <w:szCs w:val="28"/>
        </w:rPr>
        <w:t>开展水环境综合整治，定期对</w:t>
      </w:r>
      <w:r>
        <w:rPr>
          <w:rFonts w:hint="eastAsia" w:eastAsia="仿宋_GB2312"/>
          <w:sz w:val="28"/>
          <w:szCs w:val="28"/>
        </w:rPr>
        <w:t>集中区</w:t>
      </w:r>
      <w:r>
        <w:rPr>
          <w:rFonts w:eastAsia="仿宋_GB2312"/>
          <w:bCs/>
          <w:sz w:val="28"/>
          <w:szCs w:val="28"/>
        </w:rPr>
        <w:t>及周边的河流、沟渠进行全面清淤，并实施生态修复</w:t>
      </w:r>
      <w:r>
        <w:rPr>
          <w:rFonts w:eastAsia="仿宋_GB2312"/>
          <w:bCs/>
          <w:sz w:val="28"/>
        </w:rPr>
        <w:t>。</w:t>
      </w:r>
      <w:r>
        <w:rPr>
          <w:rFonts w:eastAsia="仿宋_GB2312"/>
          <w:bCs/>
          <w:sz w:val="28"/>
          <w:szCs w:val="28"/>
        </w:rPr>
        <w:t>加强</w:t>
      </w:r>
      <w:r>
        <w:rPr>
          <w:rFonts w:hint="eastAsia" w:eastAsia="仿宋_GB2312"/>
          <w:sz w:val="28"/>
          <w:szCs w:val="28"/>
        </w:rPr>
        <w:t>集中区</w:t>
      </w:r>
      <w:r>
        <w:rPr>
          <w:rFonts w:eastAsia="仿宋_GB2312"/>
          <w:bCs/>
          <w:sz w:val="28"/>
          <w:szCs w:val="28"/>
        </w:rPr>
        <w:t>生活垃圾收集、转运系统建设。</w:t>
      </w:r>
      <w:bookmarkStart w:id="34" w:name="_Hlk55466993"/>
      <w:r>
        <w:rPr>
          <w:rFonts w:eastAsia="仿宋_GB2312"/>
          <w:bCs/>
          <w:sz w:val="28"/>
        </w:rPr>
        <w:t>推进水资源节约</w:t>
      </w:r>
      <w:bookmarkEnd w:id="34"/>
      <w:r>
        <w:rPr>
          <w:rFonts w:eastAsia="仿宋_GB2312"/>
          <w:bCs/>
          <w:sz w:val="28"/>
        </w:rPr>
        <w:t>优化区域水资源配置方案，合理利用河流地表水和雨水，提升企业节水能力和水平。</w:t>
      </w:r>
    </w:p>
    <w:p w14:paraId="075B7A19">
      <w:pPr>
        <w:spacing w:line="500" w:lineRule="exact"/>
        <w:ind w:firstLine="562" w:firstLineChars="200"/>
        <w:rPr>
          <w:rFonts w:eastAsia="仿宋_GB2312"/>
          <w:b/>
          <w:bCs/>
          <w:sz w:val="28"/>
          <w:szCs w:val="28"/>
        </w:rPr>
      </w:pPr>
      <w:r>
        <w:rPr>
          <w:rFonts w:eastAsia="仿宋_GB2312"/>
          <w:b/>
          <w:bCs/>
          <w:sz w:val="28"/>
          <w:szCs w:val="28"/>
        </w:rPr>
        <w:t>（3）地下水</w:t>
      </w:r>
    </w:p>
    <w:p w14:paraId="5B67D0B2">
      <w:pPr>
        <w:spacing w:line="500" w:lineRule="exact"/>
        <w:ind w:firstLine="560" w:firstLineChars="200"/>
        <w:rPr>
          <w:rFonts w:eastAsia="仿宋_GB2312"/>
          <w:sz w:val="28"/>
          <w:szCs w:val="28"/>
        </w:rPr>
      </w:pPr>
      <w:r>
        <w:rPr>
          <w:rFonts w:eastAsia="仿宋_GB2312"/>
          <w:sz w:val="28"/>
          <w:szCs w:val="28"/>
        </w:rPr>
        <w:t>区域内严格限制开采地下水，加强对区内企业废水排放的监管和工业固废的污染整治，严防废渣液渗漏污染地下水；加强地下水的监测，根据区域地下水流向、污染源分布情况及污染物在地下水中的扩散形式，在</w:t>
      </w:r>
      <w:r>
        <w:rPr>
          <w:rFonts w:hint="eastAsia" w:eastAsia="仿宋_GB2312"/>
          <w:sz w:val="28"/>
          <w:szCs w:val="28"/>
        </w:rPr>
        <w:t>集中区</w:t>
      </w:r>
      <w:r>
        <w:rPr>
          <w:rFonts w:eastAsia="仿宋_GB2312"/>
          <w:sz w:val="28"/>
          <w:szCs w:val="28"/>
        </w:rPr>
        <w:t>范围内建立地下水长期监测井，定期进行地下水动态监测；将地下水污染应急纳入</w:t>
      </w:r>
      <w:r>
        <w:rPr>
          <w:rFonts w:hint="eastAsia" w:eastAsia="仿宋_GB2312"/>
          <w:sz w:val="28"/>
          <w:szCs w:val="28"/>
        </w:rPr>
        <w:t>集中区</w:t>
      </w:r>
      <w:r>
        <w:rPr>
          <w:rFonts w:eastAsia="仿宋_GB2312"/>
          <w:sz w:val="28"/>
          <w:szCs w:val="28"/>
        </w:rPr>
        <w:t>整体环境突发应急，一旦发现地下水污染事故，立即启动应急预案、采取应急措施控制地下水污染，并使污染得到治理。</w:t>
      </w:r>
    </w:p>
    <w:p w14:paraId="38BE1EAC">
      <w:pPr>
        <w:spacing w:line="500" w:lineRule="exact"/>
        <w:ind w:firstLine="562" w:firstLineChars="200"/>
        <w:rPr>
          <w:rFonts w:eastAsia="仿宋_GB2312"/>
          <w:b/>
          <w:bCs/>
          <w:sz w:val="28"/>
          <w:szCs w:val="28"/>
        </w:rPr>
      </w:pPr>
      <w:r>
        <w:rPr>
          <w:rFonts w:hint="eastAsia" w:eastAsia="仿宋_GB2312"/>
          <w:b/>
          <w:bCs/>
          <w:sz w:val="28"/>
          <w:szCs w:val="28"/>
          <w:lang w:eastAsia="zh-CN"/>
        </w:rPr>
        <w:t>（</w:t>
      </w:r>
      <w:r>
        <w:rPr>
          <w:rFonts w:hint="eastAsia" w:eastAsia="仿宋_GB2312"/>
          <w:b/>
          <w:bCs/>
          <w:sz w:val="28"/>
          <w:szCs w:val="28"/>
          <w:lang w:val="en-US" w:eastAsia="zh-CN"/>
        </w:rPr>
        <w:t>4</w:t>
      </w:r>
      <w:r>
        <w:rPr>
          <w:rFonts w:hint="eastAsia" w:eastAsia="仿宋_GB2312"/>
          <w:b/>
          <w:bCs/>
          <w:sz w:val="28"/>
          <w:szCs w:val="28"/>
          <w:lang w:eastAsia="zh-CN"/>
        </w:rPr>
        <w:t>）</w:t>
      </w:r>
      <w:r>
        <w:rPr>
          <w:rFonts w:eastAsia="仿宋_GB2312"/>
          <w:b/>
          <w:bCs/>
          <w:sz w:val="28"/>
          <w:szCs w:val="28"/>
        </w:rPr>
        <w:t>土壤</w:t>
      </w:r>
    </w:p>
    <w:p w14:paraId="70AB7670">
      <w:pPr>
        <w:spacing w:line="500" w:lineRule="exact"/>
        <w:ind w:firstLine="560" w:firstLineChars="200"/>
        <w:rPr>
          <w:rFonts w:eastAsia="仿宋_GB2312"/>
          <w:sz w:val="28"/>
          <w:szCs w:val="28"/>
        </w:rPr>
      </w:pPr>
      <w:r>
        <w:rPr>
          <w:rFonts w:eastAsia="仿宋_GB2312"/>
          <w:sz w:val="28"/>
          <w:szCs w:val="28"/>
          <w:lang w:val="zh-CN"/>
        </w:rPr>
        <w:t>严格环境准入，防止新建项目对土壤造成新的污染。建议</w:t>
      </w:r>
      <w:r>
        <w:rPr>
          <w:rFonts w:hint="eastAsia" w:eastAsia="仿宋_GB2312"/>
          <w:sz w:val="28"/>
          <w:szCs w:val="28"/>
        </w:rPr>
        <w:t>集中区</w:t>
      </w:r>
      <w:r>
        <w:rPr>
          <w:rFonts w:eastAsia="仿宋_GB2312"/>
          <w:sz w:val="28"/>
          <w:szCs w:val="28"/>
          <w:lang w:val="zh-CN"/>
        </w:rPr>
        <w:t>建立新增建设用地土壤环境强制调查与备案制度，保障新增建设用地土壤环境安全。对明确有污染风险的场地应开展场地修复工作，修复治理工程另行编制环境影响评价文件。强化未污染土壤保护，严控新增土壤污染。结合推进新型城镇化、产业结构调整和化解过剩产能等，有序搬迁或依法关闭对土壤造成严重污染的现有企业。</w:t>
      </w:r>
    </w:p>
    <w:p w14:paraId="7CEB8B3D">
      <w:pPr>
        <w:spacing w:line="500" w:lineRule="exact"/>
        <w:ind w:firstLine="562" w:firstLineChars="200"/>
        <w:rPr>
          <w:rFonts w:eastAsia="仿宋_GB2312"/>
          <w:b/>
          <w:bCs/>
          <w:sz w:val="28"/>
          <w:szCs w:val="28"/>
        </w:rPr>
      </w:pPr>
      <w:r>
        <w:rPr>
          <w:rFonts w:eastAsia="仿宋_GB2312"/>
          <w:b/>
          <w:bCs/>
          <w:sz w:val="28"/>
          <w:szCs w:val="28"/>
        </w:rPr>
        <w:t>（5）噪声</w:t>
      </w:r>
    </w:p>
    <w:p w14:paraId="73499A5E">
      <w:pPr>
        <w:spacing w:line="500" w:lineRule="exact"/>
        <w:ind w:firstLine="560" w:firstLineChars="200"/>
        <w:rPr>
          <w:rFonts w:eastAsia="仿宋_GB2312"/>
          <w:sz w:val="28"/>
          <w:szCs w:val="28"/>
        </w:rPr>
      </w:pPr>
      <w:r>
        <w:rPr>
          <w:rFonts w:eastAsia="仿宋_GB2312"/>
          <w:sz w:val="28"/>
          <w:szCs w:val="28"/>
        </w:rPr>
        <w:t>加强工业企业噪声污染的防治与管理；加强交通噪声污染的防治与管理；加强建筑施工噪声的防治与管理。</w:t>
      </w:r>
    </w:p>
    <w:p w14:paraId="69B4080C">
      <w:pPr>
        <w:spacing w:line="500" w:lineRule="exact"/>
        <w:ind w:firstLine="562" w:firstLineChars="200"/>
        <w:rPr>
          <w:rFonts w:eastAsia="仿宋_GB2312"/>
          <w:b/>
          <w:bCs/>
          <w:sz w:val="28"/>
          <w:szCs w:val="28"/>
        </w:rPr>
      </w:pPr>
      <w:r>
        <w:rPr>
          <w:rFonts w:eastAsia="仿宋_GB2312"/>
          <w:b/>
          <w:bCs/>
          <w:sz w:val="28"/>
          <w:szCs w:val="28"/>
        </w:rPr>
        <w:t>（6）固废</w:t>
      </w:r>
    </w:p>
    <w:p w14:paraId="3AA5B6F6">
      <w:pPr>
        <w:spacing w:line="500" w:lineRule="exact"/>
        <w:ind w:firstLine="560" w:firstLineChars="200"/>
        <w:rPr>
          <w:rFonts w:eastAsia="仿宋_GB2312"/>
          <w:sz w:val="28"/>
          <w:szCs w:val="28"/>
        </w:rPr>
      </w:pPr>
      <w:r>
        <w:rPr>
          <w:rFonts w:eastAsia="仿宋_GB2312"/>
          <w:sz w:val="28"/>
          <w:szCs w:val="28"/>
        </w:rPr>
        <w:t>完善固体废物收集系统；加强工业固废的管理与处置；加强危险废物转移处置监管；强化生活垃圾和建筑垃圾综合利用和无害化处置。</w:t>
      </w:r>
    </w:p>
    <w:p w14:paraId="0268C5DA">
      <w:pPr>
        <w:pStyle w:val="2"/>
        <w:sectPr>
          <w:pgSz w:w="11906" w:h="16838"/>
          <w:pgMar w:top="1440" w:right="1800" w:bottom="1440" w:left="1800" w:header="851" w:footer="992" w:gutter="0"/>
          <w:cols w:space="425" w:num="1"/>
          <w:docGrid w:type="lines" w:linePitch="312" w:charSpace="0"/>
        </w:sectPr>
      </w:pPr>
    </w:p>
    <w:p w14:paraId="087ADE71">
      <w:pPr>
        <w:pStyle w:val="2"/>
      </w:pPr>
      <w:bookmarkStart w:id="35" w:name="_Toc14711"/>
      <w:r>
        <w:t>7 公众参与方案</w:t>
      </w:r>
      <w:bookmarkEnd w:id="35"/>
    </w:p>
    <w:p w14:paraId="6CB448E7">
      <w:pPr>
        <w:spacing w:line="500" w:lineRule="exact"/>
        <w:ind w:firstLine="562" w:firstLineChars="200"/>
        <w:rPr>
          <w:rFonts w:eastAsia="仿宋_GB2312"/>
          <w:b/>
          <w:bCs/>
          <w:sz w:val="28"/>
          <w:szCs w:val="28"/>
        </w:rPr>
      </w:pPr>
      <w:r>
        <w:rPr>
          <w:rFonts w:eastAsia="仿宋_GB2312"/>
          <w:b/>
          <w:bCs/>
          <w:sz w:val="28"/>
          <w:szCs w:val="28"/>
        </w:rPr>
        <w:t>（1）公开环境信息的次数、内容、方式</w:t>
      </w:r>
    </w:p>
    <w:p w14:paraId="5B5DAB0F">
      <w:pPr>
        <w:spacing w:line="500" w:lineRule="exact"/>
        <w:ind w:firstLine="560" w:firstLineChars="200"/>
        <w:rPr>
          <w:rFonts w:eastAsia="仿宋_GB2312"/>
          <w:sz w:val="28"/>
          <w:szCs w:val="28"/>
        </w:rPr>
      </w:pPr>
      <w:r>
        <w:rPr>
          <w:rFonts w:eastAsia="仿宋_GB2312"/>
          <w:sz w:val="28"/>
          <w:szCs w:val="28"/>
        </w:rPr>
        <w:t>本项目环境影响评价第一次信息发布于</w:t>
      </w:r>
      <w:r>
        <w:rPr>
          <w:rFonts w:eastAsia="仿宋_GB2312"/>
          <w:sz w:val="28"/>
          <w:szCs w:val="32"/>
        </w:rPr>
        <w:t>202</w:t>
      </w:r>
      <w:r>
        <w:rPr>
          <w:rFonts w:hint="eastAsia" w:eastAsia="仿宋_GB2312"/>
          <w:sz w:val="28"/>
          <w:szCs w:val="32"/>
          <w:lang w:val="en-US" w:eastAsia="zh-CN"/>
        </w:rPr>
        <w:t>5</w:t>
      </w:r>
      <w:r>
        <w:rPr>
          <w:rFonts w:eastAsia="仿宋_GB2312"/>
          <w:sz w:val="28"/>
          <w:szCs w:val="32"/>
        </w:rPr>
        <w:t>年</w:t>
      </w:r>
      <w:r>
        <w:rPr>
          <w:rFonts w:hint="eastAsia" w:eastAsia="仿宋_GB2312"/>
          <w:sz w:val="28"/>
          <w:szCs w:val="32"/>
          <w:lang w:val="en-US" w:eastAsia="zh-CN"/>
        </w:rPr>
        <w:t>11</w:t>
      </w:r>
      <w:r>
        <w:rPr>
          <w:rFonts w:eastAsia="仿宋_GB2312"/>
          <w:sz w:val="28"/>
          <w:szCs w:val="32"/>
        </w:rPr>
        <w:t>月</w:t>
      </w:r>
      <w:r>
        <w:rPr>
          <w:rFonts w:hint="eastAsia" w:eastAsia="仿宋_GB2312"/>
          <w:sz w:val="28"/>
          <w:szCs w:val="32"/>
          <w:lang w:val="en-US" w:eastAsia="zh-CN"/>
        </w:rPr>
        <w:t>4</w:t>
      </w:r>
      <w:r>
        <w:rPr>
          <w:rFonts w:eastAsia="仿宋_GB2312"/>
          <w:sz w:val="28"/>
          <w:szCs w:val="32"/>
        </w:rPr>
        <w:t>日在</w:t>
      </w:r>
      <w:r>
        <w:rPr>
          <w:rFonts w:hint="eastAsia" w:eastAsia="仿宋_GB2312"/>
          <w:sz w:val="28"/>
          <w:szCs w:val="32"/>
        </w:rPr>
        <w:t>启东市人民政府</w:t>
      </w:r>
      <w:r>
        <w:rPr>
          <w:rFonts w:eastAsia="仿宋_GB2312"/>
          <w:sz w:val="28"/>
          <w:szCs w:val="32"/>
        </w:rPr>
        <w:t>网站（</w:t>
      </w:r>
      <w:r>
        <w:rPr>
          <w:rFonts w:hint="eastAsia" w:eastAsia="仿宋_GB2312"/>
          <w:sz w:val="28"/>
          <w:szCs w:val="32"/>
        </w:rPr>
        <w:t>http://www.qidong.gov.cn</w:t>
      </w:r>
      <w:r>
        <w:rPr>
          <w:rFonts w:eastAsia="仿宋_GB2312"/>
          <w:sz w:val="28"/>
          <w:szCs w:val="32"/>
        </w:rPr>
        <w:t>/）</w:t>
      </w:r>
      <w:r>
        <w:rPr>
          <w:rFonts w:eastAsia="仿宋_GB2312"/>
          <w:sz w:val="28"/>
          <w:szCs w:val="28"/>
        </w:rPr>
        <w:t>公开发布，对</w:t>
      </w:r>
      <w:r>
        <w:rPr>
          <w:rFonts w:hint="eastAsia" w:eastAsia="仿宋_GB2312"/>
          <w:bCs/>
          <w:sz w:val="28"/>
          <w:szCs w:val="28"/>
        </w:rPr>
        <w:t>启东经济开发区新质产业集中区</w:t>
      </w:r>
      <w:r>
        <w:rPr>
          <w:rFonts w:eastAsia="仿宋_GB2312"/>
          <w:sz w:val="28"/>
          <w:szCs w:val="28"/>
        </w:rPr>
        <w:t>的基本概况和环评的主要工作内容作了介绍。</w:t>
      </w:r>
    </w:p>
    <w:p w14:paraId="337857C2">
      <w:pPr>
        <w:spacing w:line="500" w:lineRule="exact"/>
        <w:ind w:firstLine="560" w:firstLineChars="200"/>
        <w:rPr>
          <w:rFonts w:eastAsia="仿宋_GB2312"/>
          <w:sz w:val="28"/>
          <w:szCs w:val="28"/>
        </w:rPr>
      </w:pPr>
      <w:r>
        <w:rPr>
          <w:rFonts w:eastAsia="仿宋_GB2312"/>
          <w:sz w:val="28"/>
          <w:szCs w:val="28"/>
        </w:rPr>
        <w:t>本项目环境影响评价第二次信息将通过</w:t>
      </w:r>
      <w:r>
        <w:rPr>
          <w:rFonts w:hint="eastAsia" w:eastAsia="仿宋_GB2312"/>
          <w:sz w:val="28"/>
          <w:szCs w:val="32"/>
        </w:rPr>
        <w:t>启东市人民政府</w:t>
      </w:r>
      <w:r>
        <w:rPr>
          <w:rFonts w:eastAsia="仿宋_GB2312"/>
          <w:sz w:val="28"/>
          <w:szCs w:val="32"/>
        </w:rPr>
        <w:t>网站（</w:t>
      </w:r>
      <w:r>
        <w:rPr>
          <w:rFonts w:hint="eastAsia" w:eastAsia="仿宋_GB2312"/>
          <w:sz w:val="28"/>
          <w:szCs w:val="32"/>
        </w:rPr>
        <w:t>http://www.qidong.gov.cn</w:t>
      </w:r>
      <w:r>
        <w:rPr>
          <w:rFonts w:eastAsia="仿宋_GB2312"/>
          <w:sz w:val="28"/>
          <w:szCs w:val="32"/>
        </w:rPr>
        <w:t>/）</w:t>
      </w:r>
      <w:r>
        <w:rPr>
          <w:rFonts w:eastAsia="仿宋_GB2312"/>
          <w:sz w:val="28"/>
          <w:szCs w:val="28"/>
        </w:rPr>
        <w:t>公开发布，对</w:t>
      </w:r>
      <w:r>
        <w:rPr>
          <w:rFonts w:hint="eastAsia" w:eastAsia="仿宋_GB2312"/>
          <w:sz w:val="28"/>
          <w:szCs w:val="28"/>
          <w:lang w:val="en-US" w:eastAsia="zh-CN"/>
        </w:rPr>
        <w:t>集中区</w:t>
      </w:r>
      <w:r>
        <w:rPr>
          <w:rFonts w:eastAsia="仿宋_GB2312"/>
          <w:sz w:val="28"/>
          <w:szCs w:val="28"/>
        </w:rPr>
        <w:t>的情况和环评的主要工作内容作进一步介绍，并同时链接公布本报告书征求意见稿。</w:t>
      </w:r>
    </w:p>
    <w:p w14:paraId="2ACB8A3D">
      <w:pPr>
        <w:spacing w:line="500" w:lineRule="exact"/>
        <w:ind w:firstLine="560" w:firstLineChars="200"/>
        <w:rPr>
          <w:rFonts w:eastAsia="仿宋_GB2312"/>
          <w:sz w:val="28"/>
          <w:szCs w:val="28"/>
        </w:rPr>
      </w:pPr>
      <w:r>
        <w:rPr>
          <w:rFonts w:eastAsia="仿宋_GB2312"/>
          <w:sz w:val="28"/>
          <w:szCs w:val="28"/>
        </w:rPr>
        <w:t>第二次网上公示期间，同步以张贴公告和报纸公示的方式收集评价范围内的公众代表对本规划环境保护方面的意见和建议。</w:t>
      </w:r>
    </w:p>
    <w:p w14:paraId="5D831B0D">
      <w:pPr>
        <w:spacing w:line="500" w:lineRule="exact"/>
        <w:ind w:firstLine="560" w:firstLineChars="200"/>
        <w:rPr>
          <w:rFonts w:eastAsia="仿宋_GB2312"/>
          <w:sz w:val="28"/>
          <w:szCs w:val="28"/>
        </w:rPr>
      </w:pPr>
      <w:r>
        <w:rPr>
          <w:rFonts w:eastAsia="仿宋_GB2312"/>
          <w:sz w:val="28"/>
          <w:szCs w:val="28"/>
        </w:rPr>
        <w:t>（2）征求公众意见的范围、次数、形式</w:t>
      </w:r>
    </w:p>
    <w:p w14:paraId="09B1BA36">
      <w:pPr>
        <w:spacing w:line="500" w:lineRule="exact"/>
        <w:ind w:firstLine="560" w:firstLineChars="200"/>
        <w:rPr>
          <w:rFonts w:eastAsia="仿宋_GB2312"/>
          <w:sz w:val="28"/>
          <w:szCs w:val="28"/>
        </w:rPr>
      </w:pPr>
      <w:r>
        <w:rPr>
          <w:rFonts w:eastAsia="仿宋_GB2312"/>
          <w:sz w:val="28"/>
          <w:szCs w:val="28"/>
        </w:rPr>
        <w:t>公众参与的对象包括</w:t>
      </w:r>
      <w:r>
        <w:rPr>
          <w:rFonts w:hint="eastAsia" w:eastAsia="仿宋_GB2312"/>
          <w:sz w:val="28"/>
          <w:szCs w:val="28"/>
          <w:lang w:val="en-US" w:eastAsia="zh-CN"/>
        </w:rPr>
        <w:t>集中区</w:t>
      </w:r>
      <w:r>
        <w:rPr>
          <w:rFonts w:eastAsia="仿宋_GB2312"/>
          <w:sz w:val="28"/>
          <w:szCs w:val="28"/>
        </w:rPr>
        <w:t>涉及的环境敏感目标，公众可在网上公示期间向实施单位、评价机构发送电子邮件、传真和信函等方式发表意见。</w:t>
      </w:r>
    </w:p>
    <w:p w14:paraId="02416018">
      <w:pPr>
        <w:spacing w:line="500" w:lineRule="exact"/>
        <w:ind w:firstLine="560" w:firstLineChars="200"/>
        <w:rPr>
          <w:rFonts w:eastAsia="仿宋_GB2312"/>
          <w:color w:val="FF0000"/>
          <w:sz w:val="28"/>
          <w:szCs w:val="28"/>
        </w:rPr>
      </w:pPr>
    </w:p>
    <w:p w14:paraId="21102E38">
      <w:pPr>
        <w:pStyle w:val="2"/>
        <w:sectPr>
          <w:pgSz w:w="11906" w:h="16838"/>
          <w:pgMar w:top="1440" w:right="1800" w:bottom="1440" w:left="1800" w:header="851" w:footer="992" w:gutter="0"/>
          <w:cols w:space="425" w:num="1"/>
          <w:docGrid w:type="lines" w:linePitch="312" w:charSpace="0"/>
        </w:sectPr>
      </w:pPr>
    </w:p>
    <w:p w14:paraId="04C9E85A">
      <w:pPr>
        <w:pStyle w:val="2"/>
      </w:pPr>
      <w:bookmarkStart w:id="36" w:name="_Toc27046"/>
      <w:r>
        <w:t>8 环境影响评价总结论</w:t>
      </w:r>
      <w:bookmarkEnd w:id="36"/>
    </w:p>
    <w:p w14:paraId="50E36C2F">
      <w:pPr>
        <w:adjustRightInd w:val="0"/>
        <w:snapToGrid w:val="0"/>
        <w:spacing w:line="500" w:lineRule="exact"/>
        <w:ind w:firstLine="560" w:firstLineChars="200"/>
        <w:rPr>
          <w:rFonts w:eastAsia="仿宋_GB2312"/>
          <w:sz w:val="28"/>
          <w:szCs w:val="28"/>
        </w:rPr>
      </w:pPr>
      <w:bookmarkStart w:id="37" w:name="_Hlk67212760"/>
      <w:r>
        <w:rPr>
          <w:rFonts w:hint="eastAsia" w:eastAsia="仿宋_GB2312"/>
          <w:sz w:val="28"/>
          <w:szCs w:val="28"/>
          <w:lang w:val="en-US" w:eastAsia="zh-CN"/>
        </w:rPr>
        <w:t>集中区</w:t>
      </w:r>
      <w:r>
        <w:rPr>
          <w:rFonts w:eastAsia="仿宋_GB2312"/>
          <w:sz w:val="28"/>
          <w:szCs w:val="28"/>
        </w:rPr>
        <w:t>规划与上层位区域发展规划、产业政策、生态环保相关规划、政策及方案基本相符，规划配套基础设施完善，能够满足</w:t>
      </w:r>
      <w:r>
        <w:rPr>
          <w:rFonts w:hint="eastAsia" w:eastAsia="仿宋_GB2312"/>
          <w:sz w:val="28"/>
          <w:szCs w:val="28"/>
          <w:lang w:val="en-US" w:eastAsia="zh-CN"/>
        </w:rPr>
        <w:t>集中区</w:t>
      </w:r>
      <w:r>
        <w:rPr>
          <w:rFonts w:eastAsia="仿宋_GB2312"/>
          <w:sz w:val="28"/>
          <w:szCs w:val="28"/>
        </w:rPr>
        <w:t>发展需求，规划实施对区域环境产生的影响可接受，从环境保护的角度分析，在严格落实本报告提出的污染防治措施、风险防范措施、规划优化调整建议等前提下，影响在可接受的范围内，不会降低区域环境功能，</w:t>
      </w:r>
      <w:r>
        <w:rPr>
          <w:rFonts w:hint="eastAsia" w:eastAsia="仿宋_GB2312"/>
          <w:sz w:val="28"/>
          <w:szCs w:val="28"/>
          <w:lang w:val="en-US" w:eastAsia="zh-CN"/>
        </w:rPr>
        <w:t>集中区</w:t>
      </w:r>
      <w:r>
        <w:rPr>
          <w:rFonts w:eastAsia="仿宋_GB2312"/>
          <w:sz w:val="28"/>
          <w:szCs w:val="28"/>
        </w:rPr>
        <w:t>依据本轮规划发展具备环境可行性。</w:t>
      </w:r>
    </w:p>
    <w:bookmarkEnd w:id="37"/>
    <w:p w14:paraId="3FBA1659">
      <w:pPr>
        <w:rPr>
          <w:color w:val="FF0000"/>
        </w:rPr>
        <w:sectPr>
          <w:pgSz w:w="11906" w:h="16838"/>
          <w:pgMar w:top="1440" w:right="1800" w:bottom="1440" w:left="1800" w:header="851" w:footer="992" w:gutter="0"/>
          <w:cols w:space="425" w:num="1"/>
          <w:docGrid w:type="lines" w:linePitch="312" w:charSpace="0"/>
        </w:sectPr>
      </w:pPr>
    </w:p>
    <w:p w14:paraId="60F834EA">
      <w:pPr>
        <w:pStyle w:val="2"/>
      </w:pPr>
      <w:bookmarkStart w:id="38" w:name="_Toc965"/>
      <w:r>
        <w:t>9 联系方式</w:t>
      </w:r>
      <w:bookmarkEnd w:id="38"/>
    </w:p>
    <w:p w14:paraId="2D12D405">
      <w:pPr>
        <w:spacing w:line="500" w:lineRule="exact"/>
        <w:ind w:firstLine="562" w:firstLineChars="200"/>
        <w:rPr>
          <w:rFonts w:eastAsia="仿宋_GB2312"/>
          <w:b/>
          <w:sz w:val="28"/>
          <w:szCs w:val="28"/>
        </w:rPr>
      </w:pPr>
      <w:r>
        <w:rPr>
          <w:rFonts w:eastAsia="仿宋_GB2312"/>
          <w:b/>
          <w:sz w:val="28"/>
          <w:szCs w:val="28"/>
        </w:rPr>
        <w:t>（1）规划实施单位名称及联系方式</w:t>
      </w:r>
    </w:p>
    <w:p w14:paraId="5FECE8FC">
      <w:pPr>
        <w:spacing w:line="500" w:lineRule="exact"/>
        <w:ind w:firstLine="560" w:firstLineChars="200"/>
        <w:rPr>
          <w:rFonts w:hint="default" w:ascii="Times New Roman" w:hAnsi="Times New Roman" w:eastAsia="仿宋_GB2312" w:cs="Times New Roman"/>
          <w:sz w:val="28"/>
          <w:szCs w:val="28"/>
        </w:rPr>
      </w:pPr>
      <w:r>
        <w:rPr>
          <w:rFonts w:eastAsia="仿宋_GB2312"/>
          <w:sz w:val="28"/>
          <w:szCs w:val="28"/>
        </w:rPr>
        <w:t>规划实施单位：</w:t>
      </w:r>
      <w:r>
        <w:rPr>
          <w:rFonts w:hint="default" w:ascii="Times New Roman" w:hAnsi="Times New Roman" w:eastAsia="仿宋_GB2312" w:cs="Times New Roman"/>
          <w:sz w:val="28"/>
          <w:szCs w:val="28"/>
        </w:rPr>
        <w:t>江苏省启东经济开发区管理委员会</w:t>
      </w:r>
    </w:p>
    <w:p w14:paraId="5E53E6A2">
      <w:pPr>
        <w:spacing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联系地址：江苏省南通市启东市林洋路500号</w:t>
      </w:r>
    </w:p>
    <w:p w14:paraId="7028801D">
      <w:pPr>
        <w:spacing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联系人：宋局</w:t>
      </w:r>
    </w:p>
    <w:p w14:paraId="1AC83246">
      <w:pPr>
        <w:spacing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联系电话：0513-83118381</w:t>
      </w:r>
    </w:p>
    <w:p w14:paraId="1125A85E">
      <w:pPr>
        <w:spacing w:line="500" w:lineRule="exact"/>
        <w:ind w:firstLine="560" w:firstLineChars="200"/>
        <w:rPr>
          <w:rFonts w:eastAsia="仿宋_GB2312"/>
          <w:sz w:val="28"/>
          <w:szCs w:val="28"/>
        </w:rPr>
      </w:pPr>
      <w:r>
        <w:rPr>
          <w:rFonts w:hint="default" w:ascii="Times New Roman" w:hAnsi="Times New Roman" w:eastAsia="仿宋_GB2312" w:cs="Times New Roman"/>
          <w:sz w:val="28"/>
          <w:szCs w:val="28"/>
        </w:rPr>
        <w:t>电子邮箱：18206289113@qidong.gov.cn</w:t>
      </w:r>
    </w:p>
    <w:p w14:paraId="1BBAD872">
      <w:pPr>
        <w:spacing w:line="500" w:lineRule="exact"/>
        <w:ind w:firstLine="562" w:firstLineChars="200"/>
        <w:rPr>
          <w:rFonts w:eastAsia="仿宋_GB2312"/>
          <w:b/>
          <w:bCs/>
          <w:sz w:val="28"/>
          <w:szCs w:val="28"/>
        </w:rPr>
      </w:pPr>
      <w:r>
        <w:rPr>
          <w:rFonts w:eastAsia="仿宋_GB2312"/>
          <w:b/>
          <w:bCs/>
          <w:sz w:val="28"/>
          <w:szCs w:val="28"/>
        </w:rPr>
        <w:t>（2）承担环境影响评价工作单位名称及联系方式</w:t>
      </w:r>
    </w:p>
    <w:p w14:paraId="0F251ED4">
      <w:pPr>
        <w:spacing w:line="500" w:lineRule="exact"/>
        <w:ind w:firstLine="560" w:firstLineChars="200"/>
        <w:rPr>
          <w:rFonts w:eastAsia="仿宋_GB2312"/>
          <w:sz w:val="28"/>
          <w:szCs w:val="28"/>
        </w:rPr>
      </w:pPr>
      <w:r>
        <w:rPr>
          <w:rFonts w:eastAsia="仿宋_GB2312"/>
          <w:sz w:val="28"/>
          <w:szCs w:val="28"/>
        </w:rPr>
        <w:t>规划环评单位：南京大学环境规划设计研究院集团股份公司</w:t>
      </w:r>
    </w:p>
    <w:p w14:paraId="1E1C5368">
      <w:pPr>
        <w:spacing w:line="500" w:lineRule="exact"/>
        <w:ind w:firstLine="560" w:firstLineChars="200"/>
        <w:rPr>
          <w:rFonts w:eastAsia="仿宋_GB2312"/>
          <w:sz w:val="28"/>
          <w:szCs w:val="28"/>
        </w:rPr>
      </w:pPr>
      <w:r>
        <w:rPr>
          <w:rFonts w:eastAsia="仿宋_GB2312"/>
          <w:sz w:val="28"/>
          <w:szCs w:val="28"/>
        </w:rPr>
        <w:t>联系地址：南京市鼓楼区汉口路22号</w:t>
      </w:r>
    </w:p>
    <w:p w14:paraId="3FB86C96">
      <w:pPr>
        <w:spacing w:line="500" w:lineRule="exact"/>
        <w:ind w:firstLine="560" w:firstLineChars="200"/>
        <w:rPr>
          <w:rFonts w:eastAsia="仿宋_GB2312"/>
          <w:sz w:val="28"/>
          <w:szCs w:val="28"/>
        </w:rPr>
      </w:pPr>
      <w:r>
        <w:rPr>
          <w:rFonts w:eastAsia="仿宋_GB2312"/>
          <w:sz w:val="28"/>
          <w:szCs w:val="28"/>
        </w:rPr>
        <w:t>联系人：冯</w:t>
      </w:r>
      <w:r>
        <w:rPr>
          <w:rFonts w:hint="eastAsia" w:eastAsia="仿宋_GB2312"/>
          <w:sz w:val="28"/>
          <w:szCs w:val="28"/>
        </w:rPr>
        <w:t>工</w:t>
      </w:r>
    </w:p>
    <w:p w14:paraId="212A8BFD">
      <w:pPr>
        <w:spacing w:line="500" w:lineRule="exact"/>
        <w:ind w:firstLine="560" w:firstLineChars="200"/>
        <w:rPr>
          <w:rFonts w:eastAsia="仿宋_GB2312"/>
          <w:sz w:val="28"/>
          <w:szCs w:val="28"/>
        </w:rPr>
      </w:pPr>
      <w:r>
        <w:rPr>
          <w:rFonts w:eastAsia="仿宋_GB2312"/>
          <w:sz w:val="28"/>
          <w:szCs w:val="28"/>
        </w:rPr>
        <w:t>联系电话：025-83686095</w:t>
      </w:r>
    </w:p>
    <w:p w14:paraId="7849260C">
      <w:pPr>
        <w:spacing w:line="500" w:lineRule="exact"/>
        <w:ind w:firstLine="560" w:firstLineChars="200"/>
        <w:rPr>
          <w:rFonts w:eastAsia="仿宋_GB2312"/>
          <w:sz w:val="28"/>
          <w:szCs w:val="28"/>
        </w:rPr>
      </w:pPr>
      <w:r>
        <w:rPr>
          <w:rFonts w:eastAsia="仿宋_GB2312"/>
          <w:sz w:val="28"/>
          <w:szCs w:val="28"/>
        </w:rPr>
        <w:t>电子邮箱：fy@njuae.cn</w:t>
      </w:r>
    </w:p>
    <w:p w14:paraId="5C6F496F">
      <w:pPr>
        <w:spacing w:line="500" w:lineRule="exact"/>
        <w:ind w:firstLine="560" w:firstLineChars="200"/>
        <w:rPr>
          <w:rFonts w:eastAsia="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E83ED">
    <w:pPr>
      <w:pStyle w:val="12"/>
      <w:jc w:val="center"/>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4785054"/>
    </w:sdtPr>
    <w:sdtEndPr>
      <w:rPr>
        <w:rFonts w:ascii="Times New Roman" w:hAnsi="Times New Roman" w:cs="Times New Roman"/>
      </w:rPr>
    </w:sdtEndPr>
    <w:sdtContent>
      <w:p w14:paraId="46D85657">
        <w:pPr>
          <w:pStyle w:val="12"/>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16</w:t>
        </w:r>
        <w:r>
          <w:rPr>
            <w:rFonts w:ascii="Times New Roman" w:hAnsi="Times New Roman" w:cs="Times New Roma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EA2FB5"/>
    <w:multiLevelType w:val="multilevel"/>
    <w:tmpl w:val="68EA2FB5"/>
    <w:lvl w:ilvl="0" w:tentative="0">
      <w:start w:val="1"/>
      <w:numFmt w:val="decimal"/>
      <w:lvlText w:val="%1"/>
      <w:lvlJc w:val="left"/>
      <w:pPr>
        <w:ind w:left="425" w:hanging="425"/>
      </w:pPr>
      <w:rPr>
        <w:rFonts w:hint="eastAsia" w:eastAsia="宋体"/>
      </w:rPr>
    </w:lvl>
    <w:lvl w:ilvl="1" w:tentative="0">
      <w:start w:val="1"/>
      <w:numFmt w:val="decimal"/>
      <w:lvlText w:val="%1.%2"/>
      <w:lvlJc w:val="left"/>
      <w:pPr>
        <w:ind w:left="992" w:hanging="567"/>
      </w:pPr>
      <w:rPr>
        <w:rFonts w:hint="eastAsia"/>
      </w:rPr>
    </w:lvl>
    <w:lvl w:ilvl="2" w:tentative="0">
      <w:start w:val="1"/>
      <w:numFmt w:val="decimal"/>
      <w:isLgl/>
      <w:lvlText w:val="%2.%1.%3"/>
      <w:lvlJc w:val="left"/>
      <w:pPr>
        <w:ind w:left="420" w:hanging="420"/>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lvlOverride w:ilvl="0">
      <w:lvl w:ilvl="0" w:tentative="1">
        <w:start w:val="1"/>
        <w:numFmt w:val="decimal"/>
        <w:lvlText w:val="%1"/>
        <w:lvlJc w:val="left"/>
        <w:pPr>
          <w:ind w:left="425" w:hanging="425"/>
        </w:pPr>
        <w:rPr>
          <w:rFonts w:hint="eastAsia" w:eastAsia="宋体"/>
        </w:rPr>
      </w:lvl>
    </w:lvlOverride>
    <w:lvlOverride w:ilvl="1">
      <w:lvl w:ilvl="1" w:tentative="1">
        <w:start w:val="1"/>
        <w:numFmt w:val="decimal"/>
        <w:lvlText w:val="%1.%2"/>
        <w:lvlJc w:val="left"/>
        <w:pPr>
          <w:ind w:left="992" w:hanging="567"/>
        </w:pPr>
        <w:rPr>
          <w:rFonts w:hint="eastAsia"/>
        </w:rPr>
      </w:lvl>
    </w:lvlOverride>
    <w:lvlOverride w:ilvl="2">
      <w:lvl w:ilvl="2" w:tentative="1">
        <w:start w:val="1"/>
        <w:numFmt w:val="decimal"/>
        <w:pStyle w:val="6"/>
        <w:lvlText w:val="%2.%1.%3"/>
        <w:lvlJc w:val="left"/>
        <w:pPr>
          <w:ind w:left="420" w:hanging="420"/>
        </w:pPr>
        <w:rPr>
          <w:rFonts w:hint="eastAsia"/>
        </w:rPr>
      </w:lvl>
    </w:lvlOverride>
    <w:lvlOverride w:ilvl="3">
      <w:lvl w:ilvl="3" w:tentative="1">
        <w:start w:val="1"/>
        <w:numFmt w:val="decimal"/>
        <w:lvlText w:val="%1.%2.%3.%4"/>
        <w:lvlJc w:val="left"/>
        <w:pPr>
          <w:ind w:left="1984" w:hanging="708"/>
        </w:pPr>
        <w:rPr>
          <w:rFonts w:hint="eastAsia"/>
        </w:rPr>
      </w:lvl>
    </w:lvlOverride>
    <w:lvlOverride w:ilvl="4">
      <w:lvl w:ilvl="4" w:tentative="1">
        <w:start w:val="1"/>
        <w:numFmt w:val="decimal"/>
        <w:lvlText w:val="%1.%2.%3.%4.%5"/>
        <w:lvlJc w:val="left"/>
        <w:pPr>
          <w:ind w:left="2551" w:hanging="850"/>
        </w:pPr>
        <w:rPr>
          <w:rFonts w:hint="eastAsia"/>
        </w:rPr>
      </w:lvl>
    </w:lvlOverride>
    <w:lvlOverride w:ilvl="5">
      <w:lvl w:ilvl="5" w:tentative="1">
        <w:start w:val="1"/>
        <w:numFmt w:val="decimal"/>
        <w:lvlText w:val="%1.%2.%3.%4.%5.%6"/>
        <w:lvlJc w:val="left"/>
        <w:pPr>
          <w:ind w:left="3260" w:hanging="1134"/>
        </w:pPr>
        <w:rPr>
          <w:rFonts w:hint="eastAsia"/>
        </w:rPr>
      </w:lvl>
    </w:lvlOverride>
    <w:lvlOverride w:ilvl="6">
      <w:lvl w:ilvl="6" w:tentative="1">
        <w:start w:val="1"/>
        <w:numFmt w:val="decimal"/>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5M2JlZTk1NzI3MmM5Y2NhYjc1ZWY0NzUyN2M3YzIifQ=="/>
  </w:docVars>
  <w:rsids>
    <w:rsidRoot w:val="00A1578A"/>
    <w:rsid w:val="00001066"/>
    <w:rsid w:val="00001FE9"/>
    <w:rsid w:val="000050E6"/>
    <w:rsid w:val="00005564"/>
    <w:rsid w:val="00005A6C"/>
    <w:rsid w:val="0001279E"/>
    <w:rsid w:val="00025D7D"/>
    <w:rsid w:val="00026336"/>
    <w:rsid w:val="0003190E"/>
    <w:rsid w:val="00032602"/>
    <w:rsid w:val="0004045A"/>
    <w:rsid w:val="00045AD0"/>
    <w:rsid w:val="0005234A"/>
    <w:rsid w:val="00055770"/>
    <w:rsid w:val="00067D0C"/>
    <w:rsid w:val="0007199F"/>
    <w:rsid w:val="00082924"/>
    <w:rsid w:val="00082A85"/>
    <w:rsid w:val="00087286"/>
    <w:rsid w:val="000872D6"/>
    <w:rsid w:val="00092362"/>
    <w:rsid w:val="000944C2"/>
    <w:rsid w:val="000A323A"/>
    <w:rsid w:val="000A328A"/>
    <w:rsid w:val="000A472C"/>
    <w:rsid w:val="000B0668"/>
    <w:rsid w:val="000B53A1"/>
    <w:rsid w:val="000B73F5"/>
    <w:rsid w:val="000C0364"/>
    <w:rsid w:val="000D0912"/>
    <w:rsid w:val="000D2BC0"/>
    <w:rsid w:val="000D3F3B"/>
    <w:rsid w:val="000D59F4"/>
    <w:rsid w:val="000E2089"/>
    <w:rsid w:val="000E5405"/>
    <w:rsid w:val="000E6218"/>
    <w:rsid w:val="000F06FA"/>
    <w:rsid w:val="000F098C"/>
    <w:rsid w:val="000F3969"/>
    <w:rsid w:val="000F4795"/>
    <w:rsid w:val="000F7717"/>
    <w:rsid w:val="00107708"/>
    <w:rsid w:val="00110CCA"/>
    <w:rsid w:val="00113A3D"/>
    <w:rsid w:val="001224F7"/>
    <w:rsid w:val="001256BC"/>
    <w:rsid w:val="0013115B"/>
    <w:rsid w:val="00131FD7"/>
    <w:rsid w:val="00134A35"/>
    <w:rsid w:val="00145C67"/>
    <w:rsid w:val="001464C5"/>
    <w:rsid w:val="001554FF"/>
    <w:rsid w:val="0015585C"/>
    <w:rsid w:val="00156053"/>
    <w:rsid w:val="00164089"/>
    <w:rsid w:val="001645C3"/>
    <w:rsid w:val="0016521B"/>
    <w:rsid w:val="00170158"/>
    <w:rsid w:val="00182792"/>
    <w:rsid w:val="00185832"/>
    <w:rsid w:val="001937AE"/>
    <w:rsid w:val="001A18F7"/>
    <w:rsid w:val="001A3E1D"/>
    <w:rsid w:val="001A74D0"/>
    <w:rsid w:val="001B7C8D"/>
    <w:rsid w:val="001C58D2"/>
    <w:rsid w:val="001C7BA2"/>
    <w:rsid w:val="001D290A"/>
    <w:rsid w:val="001D2918"/>
    <w:rsid w:val="001D403F"/>
    <w:rsid w:val="001D632E"/>
    <w:rsid w:val="001E346C"/>
    <w:rsid w:val="001F4542"/>
    <w:rsid w:val="00200127"/>
    <w:rsid w:val="00206949"/>
    <w:rsid w:val="00215DBC"/>
    <w:rsid w:val="002201C3"/>
    <w:rsid w:val="002245A7"/>
    <w:rsid w:val="0023340D"/>
    <w:rsid w:val="00234ACA"/>
    <w:rsid w:val="00235BE7"/>
    <w:rsid w:val="00241567"/>
    <w:rsid w:val="00247B02"/>
    <w:rsid w:val="002577AD"/>
    <w:rsid w:val="00257A18"/>
    <w:rsid w:val="002610B0"/>
    <w:rsid w:val="00261951"/>
    <w:rsid w:val="002653A6"/>
    <w:rsid w:val="002653C1"/>
    <w:rsid w:val="002707AD"/>
    <w:rsid w:val="00273C8F"/>
    <w:rsid w:val="00281F36"/>
    <w:rsid w:val="00284AED"/>
    <w:rsid w:val="00286FEC"/>
    <w:rsid w:val="002973F2"/>
    <w:rsid w:val="002A01DB"/>
    <w:rsid w:val="002A0C18"/>
    <w:rsid w:val="002A1082"/>
    <w:rsid w:val="002D2DC5"/>
    <w:rsid w:val="002D3CF2"/>
    <w:rsid w:val="002D45F9"/>
    <w:rsid w:val="002E11C4"/>
    <w:rsid w:val="002E2F39"/>
    <w:rsid w:val="002E4E67"/>
    <w:rsid w:val="002E539B"/>
    <w:rsid w:val="002E70B2"/>
    <w:rsid w:val="002E7215"/>
    <w:rsid w:val="002F1E02"/>
    <w:rsid w:val="002F2114"/>
    <w:rsid w:val="002F422C"/>
    <w:rsid w:val="002F75C4"/>
    <w:rsid w:val="00301492"/>
    <w:rsid w:val="003039A1"/>
    <w:rsid w:val="003067C5"/>
    <w:rsid w:val="00324A71"/>
    <w:rsid w:val="00327BB2"/>
    <w:rsid w:val="00332C9C"/>
    <w:rsid w:val="00337E12"/>
    <w:rsid w:val="00343817"/>
    <w:rsid w:val="00344671"/>
    <w:rsid w:val="003453FD"/>
    <w:rsid w:val="0034544E"/>
    <w:rsid w:val="00346721"/>
    <w:rsid w:val="003558CC"/>
    <w:rsid w:val="00357AA9"/>
    <w:rsid w:val="00361A7A"/>
    <w:rsid w:val="003627F0"/>
    <w:rsid w:val="00371DC4"/>
    <w:rsid w:val="00373F4C"/>
    <w:rsid w:val="003825F3"/>
    <w:rsid w:val="00384CBE"/>
    <w:rsid w:val="00390327"/>
    <w:rsid w:val="00391F85"/>
    <w:rsid w:val="00392598"/>
    <w:rsid w:val="003960BF"/>
    <w:rsid w:val="003A02CE"/>
    <w:rsid w:val="003A32F2"/>
    <w:rsid w:val="003A60C3"/>
    <w:rsid w:val="003A6D2A"/>
    <w:rsid w:val="003B0AF8"/>
    <w:rsid w:val="003B5F8E"/>
    <w:rsid w:val="003C2260"/>
    <w:rsid w:val="003C5AFB"/>
    <w:rsid w:val="003C6480"/>
    <w:rsid w:val="003D2260"/>
    <w:rsid w:val="003D38C6"/>
    <w:rsid w:val="003D3E96"/>
    <w:rsid w:val="003F5A2B"/>
    <w:rsid w:val="0040110A"/>
    <w:rsid w:val="00402101"/>
    <w:rsid w:val="00423D4A"/>
    <w:rsid w:val="00427CC1"/>
    <w:rsid w:val="00434B7B"/>
    <w:rsid w:val="004465DC"/>
    <w:rsid w:val="00446883"/>
    <w:rsid w:val="00460D15"/>
    <w:rsid w:val="00463BAD"/>
    <w:rsid w:val="00470B94"/>
    <w:rsid w:val="0047404A"/>
    <w:rsid w:val="0048450C"/>
    <w:rsid w:val="004870FF"/>
    <w:rsid w:val="0049051A"/>
    <w:rsid w:val="0049292F"/>
    <w:rsid w:val="004A466A"/>
    <w:rsid w:val="004A6069"/>
    <w:rsid w:val="004B4C09"/>
    <w:rsid w:val="004C477C"/>
    <w:rsid w:val="004D215B"/>
    <w:rsid w:val="004E016B"/>
    <w:rsid w:val="004E0179"/>
    <w:rsid w:val="004E349F"/>
    <w:rsid w:val="004E495B"/>
    <w:rsid w:val="004F01AC"/>
    <w:rsid w:val="004F2A2B"/>
    <w:rsid w:val="004F2EC0"/>
    <w:rsid w:val="004F3E7B"/>
    <w:rsid w:val="004F480A"/>
    <w:rsid w:val="0050197F"/>
    <w:rsid w:val="0050526F"/>
    <w:rsid w:val="005060BB"/>
    <w:rsid w:val="005069FA"/>
    <w:rsid w:val="0051009D"/>
    <w:rsid w:val="00513881"/>
    <w:rsid w:val="0051497B"/>
    <w:rsid w:val="00517766"/>
    <w:rsid w:val="00520B10"/>
    <w:rsid w:val="0052235B"/>
    <w:rsid w:val="00522362"/>
    <w:rsid w:val="00523E58"/>
    <w:rsid w:val="005264A9"/>
    <w:rsid w:val="00530D35"/>
    <w:rsid w:val="00533166"/>
    <w:rsid w:val="0053485E"/>
    <w:rsid w:val="00535841"/>
    <w:rsid w:val="005412B7"/>
    <w:rsid w:val="00545A16"/>
    <w:rsid w:val="00546269"/>
    <w:rsid w:val="00553592"/>
    <w:rsid w:val="00556EE5"/>
    <w:rsid w:val="00556F19"/>
    <w:rsid w:val="00583F7B"/>
    <w:rsid w:val="00591BB4"/>
    <w:rsid w:val="005937EB"/>
    <w:rsid w:val="00595F8D"/>
    <w:rsid w:val="005A06B1"/>
    <w:rsid w:val="005A41AF"/>
    <w:rsid w:val="005A4963"/>
    <w:rsid w:val="005A650A"/>
    <w:rsid w:val="005B1B9E"/>
    <w:rsid w:val="005B6068"/>
    <w:rsid w:val="005C283D"/>
    <w:rsid w:val="005C3EA9"/>
    <w:rsid w:val="005C44A2"/>
    <w:rsid w:val="005C4E41"/>
    <w:rsid w:val="005C5EA1"/>
    <w:rsid w:val="005D02F2"/>
    <w:rsid w:val="005E43C0"/>
    <w:rsid w:val="005F1E3A"/>
    <w:rsid w:val="005F4952"/>
    <w:rsid w:val="005F7851"/>
    <w:rsid w:val="00620FE0"/>
    <w:rsid w:val="00622B40"/>
    <w:rsid w:val="006239AE"/>
    <w:rsid w:val="006243CC"/>
    <w:rsid w:val="006312B1"/>
    <w:rsid w:val="006341FB"/>
    <w:rsid w:val="0063434F"/>
    <w:rsid w:val="006349E7"/>
    <w:rsid w:val="00636942"/>
    <w:rsid w:val="00637B33"/>
    <w:rsid w:val="00640613"/>
    <w:rsid w:val="00642782"/>
    <w:rsid w:val="006435FF"/>
    <w:rsid w:val="0064411D"/>
    <w:rsid w:val="00645661"/>
    <w:rsid w:val="006470AC"/>
    <w:rsid w:val="006508D3"/>
    <w:rsid w:val="0065216C"/>
    <w:rsid w:val="00655215"/>
    <w:rsid w:val="00657D88"/>
    <w:rsid w:val="00665452"/>
    <w:rsid w:val="00673871"/>
    <w:rsid w:val="006776D0"/>
    <w:rsid w:val="00677F55"/>
    <w:rsid w:val="00687CE4"/>
    <w:rsid w:val="006A0691"/>
    <w:rsid w:val="006A258E"/>
    <w:rsid w:val="006A2AF9"/>
    <w:rsid w:val="006A7ACA"/>
    <w:rsid w:val="006B0342"/>
    <w:rsid w:val="006B0EBB"/>
    <w:rsid w:val="006B19B7"/>
    <w:rsid w:val="006B1F00"/>
    <w:rsid w:val="006B45EB"/>
    <w:rsid w:val="006C14D1"/>
    <w:rsid w:val="006C3D60"/>
    <w:rsid w:val="006C77F5"/>
    <w:rsid w:val="006D0862"/>
    <w:rsid w:val="006D0AEE"/>
    <w:rsid w:val="006D29E9"/>
    <w:rsid w:val="006D2C29"/>
    <w:rsid w:val="006D78D6"/>
    <w:rsid w:val="006D7B4F"/>
    <w:rsid w:val="006E5955"/>
    <w:rsid w:val="006F45A6"/>
    <w:rsid w:val="006F7ECA"/>
    <w:rsid w:val="00712F2B"/>
    <w:rsid w:val="00722A29"/>
    <w:rsid w:val="00725E34"/>
    <w:rsid w:val="00726C40"/>
    <w:rsid w:val="00727729"/>
    <w:rsid w:val="007365EB"/>
    <w:rsid w:val="00736E10"/>
    <w:rsid w:val="00743A7E"/>
    <w:rsid w:val="00745E29"/>
    <w:rsid w:val="0074726E"/>
    <w:rsid w:val="007478B3"/>
    <w:rsid w:val="00751D05"/>
    <w:rsid w:val="00756583"/>
    <w:rsid w:val="00756C70"/>
    <w:rsid w:val="00761FE8"/>
    <w:rsid w:val="00765528"/>
    <w:rsid w:val="00765E19"/>
    <w:rsid w:val="00771DF3"/>
    <w:rsid w:val="00774B4A"/>
    <w:rsid w:val="00776F74"/>
    <w:rsid w:val="00777F8E"/>
    <w:rsid w:val="00780E8C"/>
    <w:rsid w:val="00781FDC"/>
    <w:rsid w:val="007841CF"/>
    <w:rsid w:val="00785B16"/>
    <w:rsid w:val="00785DD6"/>
    <w:rsid w:val="007931AD"/>
    <w:rsid w:val="00796E24"/>
    <w:rsid w:val="007973A6"/>
    <w:rsid w:val="00797ACE"/>
    <w:rsid w:val="007A1535"/>
    <w:rsid w:val="007A4A98"/>
    <w:rsid w:val="007A5417"/>
    <w:rsid w:val="007A7C00"/>
    <w:rsid w:val="007B461B"/>
    <w:rsid w:val="007B530D"/>
    <w:rsid w:val="007B5908"/>
    <w:rsid w:val="007C4A27"/>
    <w:rsid w:val="007C6552"/>
    <w:rsid w:val="007E0607"/>
    <w:rsid w:val="007E0FAB"/>
    <w:rsid w:val="007E4186"/>
    <w:rsid w:val="007E4FC4"/>
    <w:rsid w:val="007E64A0"/>
    <w:rsid w:val="007F23C7"/>
    <w:rsid w:val="007F2B63"/>
    <w:rsid w:val="007F3103"/>
    <w:rsid w:val="007F3E9B"/>
    <w:rsid w:val="007F4404"/>
    <w:rsid w:val="007F4573"/>
    <w:rsid w:val="0080573D"/>
    <w:rsid w:val="00807316"/>
    <w:rsid w:val="008123CF"/>
    <w:rsid w:val="00816C6D"/>
    <w:rsid w:val="008204C6"/>
    <w:rsid w:val="00821B39"/>
    <w:rsid w:val="00822009"/>
    <w:rsid w:val="008226FE"/>
    <w:rsid w:val="00823BBD"/>
    <w:rsid w:val="00823E02"/>
    <w:rsid w:val="00824A22"/>
    <w:rsid w:val="0083682E"/>
    <w:rsid w:val="008435C6"/>
    <w:rsid w:val="00844198"/>
    <w:rsid w:val="00846442"/>
    <w:rsid w:val="008557A6"/>
    <w:rsid w:val="008649FB"/>
    <w:rsid w:val="00866D1E"/>
    <w:rsid w:val="00872CAD"/>
    <w:rsid w:val="00884BCE"/>
    <w:rsid w:val="00885CE9"/>
    <w:rsid w:val="008924F0"/>
    <w:rsid w:val="008942DD"/>
    <w:rsid w:val="0089462A"/>
    <w:rsid w:val="00894B2E"/>
    <w:rsid w:val="008967E4"/>
    <w:rsid w:val="00897985"/>
    <w:rsid w:val="008A7A5D"/>
    <w:rsid w:val="008B7685"/>
    <w:rsid w:val="008C1B39"/>
    <w:rsid w:val="008C55AD"/>
    <w:rsid w:val="008D1C2A"/>
    <w:rsid w:val="008D209F"/>
    <w:rsid w:val="008D51DE"/>
    <w:rsid w:val="008D76BE"/>
    <w:rsid w:val="008E3B3C"/>
    <w:rsid w:val="008F1C1B"/>
    <w:rsid w:val="008F1FFB"/>
    <w:rsid w:val="008F53B6"/>
    <w:rsid w:val="00903605"/>
    <w:rsid w:val="00905371"/>
    <w:rsid w:val="00911AAC"/>
    <w:rsid w:val="009138D3"/>
    <w:rsid w:val="00913E85"/>
    <w:rsid w:val="00920698"/>
    <w:rsid w:val="00923F14"/>
    <w:rsid w:val="00923FAA"/>
    <w:rsid w:val="00925C60"/>
    <w:rsid w:val="00926055"/>
    <w:rsid w:val="0093329A"/>
    <w:rsid w:val="009373FD"/>
    <w:rsid w:val="00942C41"/>
    <w:rsid w:val="00943B7E"/>
    <w:rsid w:val="00951174"/>
    <w:rsid w:val="00954826"/>
    <w:rsid w:val="009567D2"/>
    <w:rsid w:val="0096720B"/>
    <w:rsid w:val="0097298F"/>
    <w:rsid w:val="0097448B"/>
    <w:rsid w:val="009769D8"/>
    <w:rsid w:val="00982529"/>
    <w:rsid w:val="00982F52"/>
    <w:rsid w:val="00984621"/>
    <w:rsid w:val="00990F30"/>
    <w:rsid w:val="00991732"/>
    <w:rsid w:val="009941E6"/>
    <w:rsid w:val="00997DAC"/>
    <w:rsid w:val="009A10BA"/>
    <w:rsid w:val="009A2A1B"/>
    <w:rsid w:val="009A2FB1"/>
    <w:rsid w:val="009A6169"/>
    <w:rsid w:val="009B3B47"/>
    <w:rsid w:val="009C6821"/>
    <w:rsid w:val="009C6A4D"/>
    <w:rsid w:val="009C7BC0"/>
    <w:rsid w:val="009D1D6C"/>
    <w:rsid w:val="009D589E"/>
    <w:rsid w:val="009E642F"/>
    <w:rsid w:val="009E65DD"/>
    <w:rsid w:val="009E6D58"/>
    <w:rsid w:val="009F40C6"/>
    <w:rsid w:val="009F6BAF"/>
    <w:rsid w:val="00A01B1F"/>
    <w:rsid w:val="00A02AA6"/>
    <w:rsid w:val="00A1078E"/>
    <w:rsid w:val="00A118C0"/>
    <w:rsid w:val="00A122FA"/>
    <w:rsid w:val="00A1578A"/>
    <w:rsid w:val="00A21DAD"/>
    <w:rsid w:val="00A2534F"/>
    <w:rsid w:val="00A30DCA"/>
    <w:rsid w:val="00A34BD2"/>
    <w:rsid w:val="00A365AA"/>
    <w:rsid w:val="00A36D31"/>
    <w:rsid w:val="00A431AA"/>
    <w:rsid w:val="00A52172"/>
    <w:rsid w:val="00A541E9"/>
    <w:rsid w:val="00A551E0"/>
    <w:rsid w:val="00A5590E"/>
    <w:rsid w:val="00A77358"/>
    <w:rsid w:val="00A86B82"/>
    <w:rsid w:val="00A9303B"/>
    <w:rsid w:val="00A93B5F"/>
    <w:rsid w:val="00A945B6"/>
    <w:rsid w:val="00AA2C8B"/>
    <w:rsid w:val="00AC33FC"/>
    <w:rsid w:val="00AC3D4B"/>
    <w:rsid w:val="00AC4CC9"/>
    <w:rsid w:val="00AC4D9E"/>
    <w:rsid w:val="00AC6ED1"/>
    <w:rsid w:val="00AD1F22"/>
    <w:rsid w:val="00AD2ACB"/>
    <w:rsid w:val="00AD4A40"/>
    <w:rsid w:val="00AD62A1"/>
    <w:rsid w:val="00AD64A2"/>
    <w:rsid w:val="00AD7407"/>
    <w:rsid w:val="00AE3997"/>
    <w:rsid w:val="00AE3999"/>
    <w:rsid w:val="00AE52BE"/>
    <w:rsid w:val="00AF39A1"/>
    <w:rsid w:val="00AF554B"/>
    <w:rsid w:val="00B11886"/>
    <w:rsid w:val="00B12339"/>
    <w:rsid w:val="00B1407F"/>
    <w:rsid w:val="00B20514"/>
    <w:rsid w:val="00B21073"/>
    <w:rsid w:val="00B21FC5"/>
    <w:rsid w:val="00B226E7"/>
    <w:rsid w:val="00B24A99"/>
    <w:rsid w:val="00B255EE"/>
    <w:rsid w:val="00B30288"/>
    <w:rsid w:val="00B34B51"/>
    <w:rsid w:val="00B46245"/>
    <w:rsid w:val="00B57366"/>
    <w:rsid w:val="00B62406"/>
    <w:rsid w:val="00B6291E"/>
    <w:rsid w:val="00B679CA"/>
    <w:rsid w:val="00B72813"/>
    <w:rsid w:val="00B7404B"/>
    <w:rsid w:val="00B932C1"/>
    <w:rsid w:val="00BA330B"/>
    <w:rsid w:val="00BA3719"/>
    <w:rsid w:val="00BA4CBC"/>
    <w:rsid w:val="00BA6305"/>
    <w:rsid w:val="00BB0B4D"/>
    <w:rsid w:val="00BB1EF0"/>
    <w:rsid w:val="00BB21B9"/>
    <w:rsid w:val="00BB53D6"/>
    <w:rsid w:val="00BC52E1"/>
    <w:rsid w:val="00BD2E96"/>
    <w:rsid w:val="00BD6B39"/>
    <w:rsid w:val="00BE03D7"/>
    <w:rsid w:val="00BE3FB4"/>
    <w:rsid w:val="00BF0DA2"/>
    <w:rsid w:val="00BF6564"/>
    <w:rsid w:val="00BF6A80"/>
    <w:rsid w:val="00BF7A35"/>
    <w:rsid w:val="00C03E11"/>
    <w:rsid w:val="00C0533A"/>
    <w:rsid w:val="00C1241E"/>
    <w:rsid w:val="00C169A9"/>
    <w:rsid w:val="00C17FD7"/>
    <w:rsid w:val="00C27317"/>
    <w:rsid w:val="00C300DB"/>
    <w:rsid w:val="00C30936"/>
    <w:rsid w:val="00C337C8"/>
    <w:rsid w:val="00C36AD9"/>
    <w:rsid w:val="00C42987"/>
    <w:rsid w:val="00C4784B"/>
    <w:rsid w:val="00C51647"/>
    <w:rsid w:val="00C53C84"/>
    <w:rsid w:val="00C5452B"/>
    <w:rsid w:val="00C65693"/>
    <w:rsid w:val="00C66BEF"/>
    <w:rsid w:val="00C71B31"/>
    <w:rsid w:val="00C77B6C"/>
    <w:rsid w:val="00C867EF"/>
    <w:rsid w:val="00C872F6"/>
    <w:rsid w:val="00C93FD3"/>
    <w:rsid w:val="00C944AD"/>
    <w:rsid w:val="00CA047D"/>
    <w:rsid w:val="00CA0F43"/>
    <w:rsid w:val="00CA324A"/>
    <w:rsid w:val="00CA3D43"/>
    <w:rsid w:val="00CA5B0D"/>
    <w:rsid w:val="00CA7983"/>
    <w:rsid w:val="00CA7A93"/>
    <w:rsid w:val="00CB5F9B"/>
    <w:rsid w:val="00CC1F04"/>
    <w:rsid w:val="00CC3DC4"/>
    <w:rsid w:val="00CC5C60"/>
    <w:rsid w:val="00CD03F6"/>
    <w:rsid w:val="00CE371B"/>
    <w:rsid w:val="00CE4F70"/>
    <w:rsid w:val="00CE5D5B"/>
    <w:rsid w:val="00CF2BAD"/>
    <w:rsid w:val="00CF4B44"/>
    <w:rsid w:val="00D0033D"/>
    <w:rsid w:val="00D036DA"/>
    <w:rsid w:val="00D05417"/>
    <w:rsid w:val="00D11F30"/>
    <w:rsid w:val="00D1268E"/>
    <w:rsid w:val="00D15A6A"/>
    <w:rsid w:val="00D2045E"/>
    <w:rsid w:val="00D21112"/>
    <w:rsid w:val="00D21858"/>
    <w:rsid w:val="00D22BAF"/>
    <w:rsid w:val="00D24781"/>
    <w:rsid w:val="00D24FDB"/>
    <w:rsid w:val="00D2503D"/>
    <w:rsid w:val="00D2545E"/>
    <w:rsid w:val="00D27F33"/>
    <w:rsid w:val="00D31306"/>
    <w:rsid w:val="00D32558"/>
    <w:rsid w:val="00D33BB9"/>
    <w:rsid w:val="00D350C2"/>
    <w:rsid w:val="00D379DA"/>
    <w:rsid w:val="00D44129"/>
    <w:rsid w:val="00D4504F"/>
    <w:rsid w:val="00D4775F"/>
    <w:rsid w:val="00D50198"/>
    <w:rsid w:val="00D50DA6"/>
    <w:rsid w:val="00D5427A"/>
    <w:rsid w:val="00D55BDF"/>
    <w:rsid w:val="00D57B14"/>
    <w:rsid w:val="00D61185"/>
    <w:rsid w:val="00D67DF2"/>
    <w:rsid w:val="00D77638"/>
    <w:rsid w:val="00D77696"/>
    <w:rsid w:val="00D85BC2"/>
    <w:rsid w:val="00D865F6"/>
    <w:rsid w:val="00D8685D"/>
    <w:rsid w:val="00D86BE9"/>
    <w:rsid w:val="00D903AC"/>
    <w:rsid w:val="00DA6177"/>
    <w:rsid w:val="00DB135C"/>
    <w:rsid w:val="00DB4DDD"/>
    <w:rsid w:val="00DB7529"/>
    <w:rsid w:val="00DB7D95"/>
    <w:rsid w:val="00DC3B28"/>
    <w:rsid w:val="00DC3FC1"/>
    <w:rsid w:val="00DC76A3"/>
    <w:rsid w:val="00DD024B"/>
    <w:rsid w:val="00DD1FE1"/>
    <w:rsid w:val="00DD7890"/>
    <w:rsid w:val="00DE000E"/>
    <w:rsid w:val="00DE0A82"/>
    <w:rsid w:val="00DE2F45"/>
    <w:rsid w:val="00DE3469"/>
    <w:rsid w:val="00DE3723"/>
    <w:rsid w:val="00DE422A"/>
    <w:rsid w:val="00DE59B3"/>
    <w:rsid w:val="00DE5D0F"/>
    <w:rsid w:val="00DF12BE"/>
    <w:rsid w:val="00DF7951"/>
    <w:rsid w:val="00E04D5F"/>
    <w:rsid w:val="00E14233"/>
    <w:rsid w:val="00E27617"/>
    <w:rsid w:val="00E31BB6"/>
    <w:rsid w:val="00E32051"/>
    <w:rsid w:val="00E325B4"/>
    <w:rsid w:val="00E335AB"/>
    <w:rsid w:val="00E37BF5"/>
    <w:rsid w:val="00E4003B"/>
    <w:rsid w:val="00E41B87"/>
    <w:rsid w:val="00E4207D"/>
    <w:rsid w:val="00E5180A"/>
    <w:rsid w:val="00E52B09"/>
    <w:rsid w:val="00E65FF2"/>
    <w:rsid w:val="00E676AA"/>
    <w:rsid w:val="00E74322"/>
    <w:rsid w:val="00E77111"/>
    <w:rsid w:val="00E81C58"/>
    <w:rsid w:val="00E90A31"/>
    <w:rsid w:val="00E92044"/>
    <w:rsid w:val="00EA5449"/>
    <w:rsid w:val="00EB0D03"/>
    <w:rsid w:val="00ED4760"/>
    <w:rsid w:val="00EE667A"/>
    <w:rsid w:val="00EF5F03"/>
    <w:rsid w:val="00F06087"/>
    <w:rsid w:val="00F12772"/>
    <w:rsid w:val="00F152E6"/>
    <w:rsid w:val="00F1740C"/>
    <w:rsid w:val="00F215A9"/>
    <w:rsid w:val="00F2168F"/>
    <w:rsid w:val="00F236F7"/>
    <w:rsid w:val="00F23A31"/>
    <w:rsid w:val="00F24AE2"/>
    <w:rsid w:val="00F27296"/>
    <w:rsid w:val="00F32898"/>
    <w:rsid w:val="00F33538"/>
    <w:rsid w:val="00F34FFD"/>
    <w:rsid w:val="00F4463B"/>
    <w:rsid w:val="00F45809"/>
    <w:rsid w:val="00F56834"/>
    <w:rsid w:val="00F5711C"/>
    <w:rsid w:val="00F5719E"/>
    <w:rsid w:val="00F642FE"/>
    <w:rsid w:val="00F66716"/>
    <w:rsid w:val="00F67FE3"/>
    <w:rsid w:val="00F75EC2"/>
    <w:rsid w:val="00F76CE4"/>
    <w:rsid w:val="00F819DF"/>
    <w:rsid w:val="00F82B25"/>
    <w:rsid w:val="00F8350E"/>
    <w:rsid w:val="00FA21AA"/>
    <w:rsid w:val="00FA66BE"/>
    <w:rsid w:val="00FB2A28"/>
    <w:rsid w:val="00FC0808"/>
    <w:rsid w:val="00FC5FC2"/>
    <w:rsid w:val="00FC6A40"/>
    <w:rsid w:val="00FD0572"/>
    <w:rsid w:val="00FD095F"/>
    <w:rsid w:val="00FD150E"/>
    <w:rsid w:val="00FD4147"/>
    <w:rsid w:val="00FD7A85"/>
    <w:rsid w:val="00FE5C5B"/>
    <w:rsid w:val="00FF3A14"/>
    <w:rsid w:val="00FF7A47"/>
    <w:rsid w:val="012539C4"/>
    <w:rsid w:val="0662042E"/>
    <w:rsid w:val="0DDE5232"/>
    <w:rsid w:val="0FB46CC2"/>
    <w:rsid w:val="15860E70"/>
    <w:rsid w:val="1A550867"/>
    <w:rsid w:val="1C096D52"/>
    <w:rsid w:val="1D410664"/>
    <w:rsid w:val="213E2E90"/>
    <w:rsid w:val="237B7562"/>
    <w:rsid w:val="25A86C1F"/>
    <w:rsid w:val="26E52AD8"/>
    <w:rsid w:val="29A23994"/>
    <w:rsid w:val="2E5D3DAF"/>
    <w:rsid w:val="2EBC3F54"/>
    <w:rsid w:val="2FFD3B8B"/>
    <w:rsid w:val="37E00D5B"/>
    <w:rsid w:val="3E517CDE"/>
    <w:rsid w:val="45A100D8"/>
    <w:rsid w:val="48725306"/>
    <w:rsid w:val="4A732C4C"/>
    <w:rsid w:val="4AE41011"/>
    <w:rsid w:val="4B5944BD"/>
    <w:rsid w:val="4C5573A0"/>
    <w:rsid w:val="4C91315B"/>
    <w:rsid w:val="4DE4323A"/>
    <w:rsid w:val="4FB608CA"/>
    <w:rsid w:val="546B4B01"/>
    <w:rsid w:val="588A1674"/>
    <w:rsid w:val="59C449E4"/>
    <w:rsid w:val="59F6678C"/>
    <w:rsid w:val="5A2C58F8"/>
    <w:rsid w:val="5AEE328B"/>
    <w:rsid w:val="5C0D6FA8"/>
    <w:rsid w:val="5C1A5023"/>
    <w:rsid w:val="5D3427F2"/>
    <w:rsid w:val="620E62ED"/>
    <w:rsid w:val="75E464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0"/>
    <w:qFormat/>
    <w:uiPriority w:val="0"/>
    <w:pPr>
      <w:keepNext/>
      <w:keepLines/>
      <w:adjustRightInd w:val="0"/>
      <w:snapToGrid w:val="0"/>
      <w:spacing w:before="120" w:after="120" w:line="500" w:lineRule="exact"/>
      <w:jc w:val="left"/>
      <w:outlineLvl w:val="0"/>
    </w:pPr>
    <w:rPr>
      <w:rFonts w:eastAsia="仿宋_GB2312"/>
      <w:b/>
      <w:kern w:val="44"/>
      <w:sz w:val="32"/>
      <w:szCs w:val="20"/>
    </w:rPr>
  </w:style>
  <w:style w:type="paragraph" w:styleId="3">
    <w:name w:val="heading 2"/>
    <w:basedOn w:val="1"/>
    <w:next w:val="4"/>
    <w:link w:val="32"/>
    <w:qFormat/>
    <w:uiPriority w:val="0"/>
    <w:pPr>
      <w:keepNext/>
      <w:keepLines/>
      <w:autoSpaceDE w:val="0"/>
      <w:autoSpaceDN w:val="0"/>
      <w:adjustRightInd w:val="0"/>
      <w:snapToGrid w:val="0"/>
      <w:spacing w:before="240" w:after="120" w:line="500" w:lineRule="exact"/>
      <w:jc w:val="left"/>
      <w:textAlignment w:val="baseline"/>
      <w:outlineLvl w:val="1"/>
    </w:pPr>
    <w:rPr>
      <w:rFonts w:eastAsia="仿宋_GB2312"/>
      <w:b/>
      <w:kern w:val="0"/>
      <w:sz w:val="30"/>
      <w:szCs w:val="20"/>
    </w:rPr>
  </w:style>
  <w:style w:type="paragraph" w:styleId="5">
    <w:name w:val="heading 3"/>
    <w:basedOn w:val="1"/>
    <w:next w:val="4"/>
    <w:link w:val="23"/>
    <w:qFormat/>
    <w:uiPriority w:val="0"/>
    <w:pPr>
      <w:keepNext/>
      <w:keepLines/>
      <w:adjustRightInd w:val="0"/>
      <w:snapToGrid w:val="0"/>
      <w:spacing w:before="120" w:after="120" w:line="500" w:lineRule="exact"/>
      <w:outlineLvl w:val="2"/>
    </w:pPr>
    <w:rPr>
      <w:rFonts w:eastAsia="仿宋_GB2312"/>
      <w:b/>
      <w:bCs/>
      <w:sz w:val="28"/>
      <w:szCs w:val="32"/>
    </w:rPr>
  </w:style>
  <w:style w:type="paragraph" w:styleId="6">
    <w:name w:val="heading 4"/>
    <w:basedOn w:val="1"/>
    <w:next w:val="1"/>
    <w:link w:val="29"/>
    <w:qFormat/>
    <w:uiPriority w:val="0"/>
    <w:pPr>
      <w:keepNext/>
      <w:keepLines/>
      <w:numPr>
        <w:ilvl w:val="2"/>
        <w:numId w:val="1"/>
      </w:numPr>
      <w:adjustRightInd w:val="0"/>
      <w:snapToGrid w:val="0"/>
      <w:spacing w:before="78" w:beforeLines="25" w:after="78" w:afterLines="25"/>
      <w:outlineLvl w:val="3"/>
    </w:pPr>
    <w:rPr>
      <w:rFonts w:ascii="Arial" w:hAnsi="Arial" w:eastAsia="仿宋_GB2312"/>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31"/>
    <w:qFormat/>
    <w:uiPriority w:val="0"/>
    <w:pPr>
      <w:ind w:firstLine="420" w:firstLineChars="200"/>
    </w:pPr>
  </w:style>
  <w:style w:type="paragraph" w:styleId="7">
    <w:name w:val="annotation text"/>
    <w:basedOn w:val="1"/>
    <w:link w:val="39"/>
    <w:unhideWhenUsed/>
    <w:qFormat/>
    <w:uiPriority w:val="99"/>
    <w:pPr>
      <w:jc w:val="left"/>
    </w:pPr>
  </w:style>
  <w:style w:type="paragraph" w:styleId="8">
    <w:name w:val="Body Text"/>
    <w:basedOn w:val="1"/>
    <w:link w:val="43"/>
    <w:unhideWhenUsed/>
    <w:qFormat/>
    <w:uiPriority w:val="0"/>
    <w:pPr>
      <w:spacing w:after="120"/>
    </w:pPr>
    <w:rPr>
      <w:rFonts w:ascii="Calibri" w:hAnsi="Calibri"/>
      <w:szCs w:val="22"/>
    </w:rPr>
  </w:style>
  <w:style w:type="paragraph" w:styleId="9">
    <w:name w:val="Body Text Indent"/>
    <w:basedOn w:val="1"/>
    <w:link w:val="46"/>
    <w:qFormat/>
    <w:uiPriority w:val="0"/>
    <w:pPr>
      <w:spacing w:after="120"/>
      <w:ind w:left="420" w:leftChars="200"/>
    </w:pPr>
  </w:style>
  <w:style w:type="paragraph" w:styleId="10">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1">
    <w:name w:val="Balloon Text"/>
    <w:basedOn w:val="1"/>
    <w:link w:val="36"/>
    <w:semiHidden/>
    <w:unhideWhenUsed/>
    <w:qFormat/>
    <w:uiPriority w:val="99"/>
    <w:rPr>
      <w:sz w:val="18"/>
      <w:szCs w:val="18"/>
    </w:rPr>
  </w:style>
  <w:style w:type="paragraph" w:styleId="12">
    <w:name w:val="footer"/>
    <w:basedOn w:val="1"/>
    <w:link w:val="2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3">
    <w:name w:val="header"/>
    <w:basedOn w:val="1"/>
    <w:link w:val="2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4">
    <w:name w:val="toc 1"/>
    <w:basedOn w:val="1"/>
    <w:next w:val="1"/>
    <w:unhideWhenUsed/>
    <w:qFormat/>
    <w:uiPriority w:val="39"/>
    <w:pPr>
      <w:tabs>
        <w:tab w:val="right" w:leader="dot" w:pos="8296"/>
      </w:tabs>
    </w:pPr>
    <w:rPr>
      <w:rFonts w:eastAsia="仿宋_GB2312"/>
      <w:bCs/>
      <w:sz w:val="24"/>
    </w:rPr>
  </w:style>
  <w:style w:type="paragraph" w:styleId="15">
    <w:name w:val="toc 2"/>
    <w:basedOn w:val="1"/>
    <w:next w:val="1"/>
    <w:unhideWhenUsed/>
    <w:qFormat/>
    <w:uiPriority w:val="39"/>
    <w:pPr>
      <w:ind w:left="420" w:leftChars="200"/>
    </w:pPr>
  </w:style>
  <w:style w:type="paragraph" w:styleId="16">
    <w:name w:val="annotation subject"/>
    <w:basedOn w:val="7"/>
    <w:next w:val="7"/>
    <w:link w:val="40"/>
    <w:semiHidden/>
    <w:unhideWhenUsed/>
    <w:qFormat/>
    <w:uiPriority w:val="99"/>
    <w:rPr>
      <w:b/>
      <w:bCs/>
    </w:rPr>
  </w:style>
  <w:style w:type="table" w:styleId="18">
    <w:name w:val="Table Grid"/>
    <w:basedOn w:val="17"/>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qFormat/>
    <w:uiPriority w:val="0"/>
    <w:rPr>
      <w:b/>
      <w:bCs/>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unhideWhenUsed/>
    <w:qFormat/>
    <w:uiPriority w:val="0"/>
    <w:rPr>
      <w:sz w:val="21"/>
      <w:szCs w:val="21"/>
    </w:rPr>
  </w:style>
  <w:style w:type="character" w:customStyle="1" w:styleId="23">
    <w:name w:val="标题 3 字符"/>
    <w:link w:val="5"/>
    <w:qFormat/>
    <w:uiPriority w:val="0"/>
    <w:rPr>
      <w:rFonts w:ascii="Times New Roman" w:hAnsi="Times New Roman" w:eastAsia="仿宋_GB2312" w:cs="Times New Roman"/>
      <w:b/>
      <w:bCs/>
      <w:sz w:val="28"/>
      <w:szCs w:val="32"/>
    </w:rPr>
  </w:style>
  <w:style w:type="character" w:customStyle="1" w:styleId="24">
    <w:name w:val="页眉 字符"/>
    <w:basedOn w:val="19"/>
    <w:link w:val="13"/>
    <w:qFormat/>
    <w:uiPriority w:val="99"/>
    <w:rPr>
      <w:sz w:val="18"/>
      <w:szCs w:val="18"/>
    </w:rPr>
  </w:style>
  <w:style w:type="character" w:customStyle="1" w:styleId="25">
    <w:name w:val="页脚 字符"/>
    <w:basedOn w:val="19"/>
    <w:link w:val="12"/>
    <w:qFormat/>
    <w:uiPriority w:val="99"/>
    <w:rPr>
      <w:sz w:val="18"/>
      <w:szCs w:val="18"/>
    </w:rPr>
  </w:style>
  <w:style w:type="character" w:customStyle="1" w:styleId="26">
    <w:name w:val="标题 1 Char"/>
    <w:basedOn w:val="19"/>
    <w:qFormat/>
    <w:uiPriority w:val="9"/>
    <w:rPr>
      <w:rFonts w:ascii="Times New Roman" w:hAnsi="Times New Roman" w:eastAsia="宋体" w:cs="Times New Roman"/>
      <w:b/>
      <w:bCs/>
      <w:kern w:val="44"/>
      <w:sz w:val="44"/>
      <w:szCs w:val="44"/>
    </w:rPr>
  </w:style>
  <w:style w:type="character" w:customStyle="1" w:styleId="27">
    <w:name w:val="标题 2 Char"/>
    <w:basedOn w:val="19"/>
    <w:semiHidden/>
    <w:qFormat/>
    <w:uiPriority w:val="9"/>
    <w:rPr>
      <w:rFonts w:asciiTheme="majorHAnsi" w:hAnsiTheme="majorHAnsi" w:eastAsiaTheme="majorEastAsia" w:cstheme="majorBidi"/>
      <w:b/>
      <w:bCs/>
      <w:sz w:val="32"/>
      <w:szCs w:val="32"/>
    </w:rPr>
  </w:style>
  <w:style w:type="character" w:customStyle="1" w:styleId="28">
    <w:name w:val="标题 3 Char"/>
    <w:basedOn w:val="19"/>
    <w:semiHidden/>
    <w:qFormat/>
    <w:uiPriority w:val="9"/>
    <w:rPr>
      <w:rFonts w:ascii="Times New Roman" w:hAnsi="Times New Roman" w:eastAsia="宋体" w:cs="Times New Roman"/>
      <w:b/>
      <w:bCs/>
      <w:sz w:val="32"/>
      <w:szCs w:val="32"/>
    </w:rPr>
  </w:style>
  <w:style w:type="character" w:customStyle="1" w:styleId="29">
    <w:name w:val="标题 4 字符"/>
    <w:basedOn w:val="19"/>
    <w:link w:val="6"/>
    <w:qFormat/>
    <w:uiPriority w:val="0"/>
    <w:rPr>
      <w:rFonts w:ascii="Arial" w:hAnsi="Arial" w:eastAsia="仿宋_GB2312" w:cs="Times New Roman"/>
      <w:b/>
      <w:bCs/>
      <w:sz w:val="28"/>
      <w:szCs w:val="28"/>
    </w:rPr>
  </w:style>
  <w:style w:type="character" w:customStyle="1" w:styleId="30">
    <w:name w:val="标题 1 字符"/>
    <w:link w:val="2"/>
    <w:qFormat/>
    <w:uiPriority w:val="0"/>
    <w:rPr>
      <w:rFonts w:ascii="Times New Roman" w:hAnsi="Times New Roman" w:eastAsia="仿宋_GB2312" w:cs="Times New Roman"/>
      <w:b/>
      <w:kern w:val="44"/>
      <w:sz w:val="32"/>
      <w:szCs w:val="20"/>
    </w:rPr>
  </w:style>
  <w:style w:type="character" w:customStyle="1" w:styleId="31">
    <w:name w:val="正文缩进 字符"/>
    <w:link w:val="4"/>
    <w:qFormat/>
    <w:uiPriority w:val="0"/>
    <w:rPr>
      <w:rFonts w:ascii="Times New Roman" w:hAnsi="Times New Roman" w:eastAsia="宋体" w:cs="Times New Roman"/>
      <w:szCs w:val="24"/>
    </w:rPr>
  </w:style>
  <w:style w:type="character" w:customStyle="1" w:styleId="32">
    <w:name w:val="标题 2 字符"/>
    <w:link w:val="3"/>
    <w:qFormat/>
    <w:uiPriority w:val="0"/>
    <w:rPr>
      <w:rFonts w:ascii="Times New Roman" w:hAnsi="Times New Roman" w:eastAsia="仿宋_GB2312" w:cs="Times New Roman"/>
      <w:b/>
      <w:kern w:val="0"/>
      <w:sz w:val="30"/>
      <w:szCs w:val="20"/>
    </w:rPr>
  </w:style>
  <w:style w:type="character" w:customStyle="1" w:styleId="33">
    <w:name w:val="标题 4 Char Char Char Char Char Char Char Char Char Char Char Char Char Char Char Char Char Char Char"/>
    <w:qFormat/>
    <w:uiPriority w:val="0"/>
    <w:rPr>
      <w:rFonts w:ascii="Arial" w:hAnsi="Arial" w:eastAsia="黑体"/>
      <w:b/>
      <w:bCs/>
      <w:snapToGrid w:val="0"/>
      <w:sz w:val="24"/>
      <w:szCs w:val="28"/>
      <w:lang w:val="en-US" w:eastAsia="zh-CN"/>
    </w:rPr>
  </w:style>
  <w:style w:type="paragraph" w:customStyle="1" w:styleId="3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5">
    <w:name w:val="列出段落1"/>
    <w:basedOn w:val="1"/>
    <w:qFormat/>
    <w:uiPriority w:val="0"/>
    <w:pPr>
      <w:spacing w:line="360" w:lineRule="auto"/>
      <w:ind w:firstLine="420" w:firstLineChars="200"/>
    </w:pPr>
    <w:rPr>
      <w:rFonts w:eastAsia="仿宋_GB2312"/>
      <w:sz w:val="24"/>
    </w:rPr>
  </w:style>
  <w:style w:type="character" w:customStyle="1" w:styleId="36">
    <w:name w:val="批注框文本 字符"/>
    <w:basedOn w:val="19"/>
    <w:link w:val="11"/>
    <w:semiHidden/>
    <w:qFormat/>
    <w:uiPriority w:val="99"/>
    <w:rPr>
      <w:rFonts w:ascii="Times New Roman" w:hAnsi="Times New Roman" w:eastAsia="宋体" w:cs="Times New Roman"/>
      <w:sz w:val="18"/>
      <w:szCs w:val="18"/>
    </w:rPr>
  </w:style>
  <w:style w:type="paragraph" w:styleId="37">
    <w:name w:val="List Paragraph"/>
    <w:basedOn w:val="1"/>
    <w:qFormat/>
    <w:uiPriority w:val="34"/>
    <w:pPr>
      <w:ind w:firstLine="420" w:firstLineChars="200"/>
    </w:pPr>
  </w:style>
  <w:style w:type="paragraph" w:customStyle="1" w:styleId="38">
    <w:name w:val="TOC 标题1"/>
    <w:basedOn w:val="2"/>
    <w:next w:val="1"/>
    <w:semiHidden/>
    <w:unhideWhenUsed/>
    <w:qFormat/>
    <w:uiPriority w:val="39"/>
    <w:pPr>
      <w:widowControl/>
      <w:adjustRightInd/>
      <w:snapToGrid/>
      <w:spacing w:before="480" w:after="0" w:line="276" w:lineRule="auto"/>
      <w:outlineLvl w:val="9"/>
    </w:pPr>
    <w:rPr>
      <w:rFonts w:asciiTheme="majorHAnsi" w:hAnsiTheme="majorHAnsi" w:eastAsiaTheme="majorEastAsia" w:cstheme="majorBidi"/>
      <w:bCs/>
      <w:color w:val="376092" w:themeColor="accent1" w:themeShade="BF"/>
      <w:kern w:val="0"/>
      <w:sz w:val="28"/>
      <w:szCs w:val="28"/>
    </w:rPr>
  </w:style>
  <w:style w:type="character" w:customStyle="1" w:styleId="39">
    <w:name w:val="批注文字 字符"/>
    <w:basedOn w:val="19"/>
    <w:link w:val="7"/>
    <w:qFormat/>
    <w:uiPriority w:val="99"/>
    <w:rPr>
      <w:rFonts w:ascii="Times New Roman" w:hAnsi="Times New Roman" w:eastAsia="宋体" w:cs="Times New Roman"/>
      <w:szCs w:val="24"/>
    </w:rPr>
  </w:style>
  <w:style w:type="character" w:customStyle="1" w:styleId="40">
    <w:name w:val="批注主题 字符"/>
    <w:basedOn w:val="39"/>
    <w:link w:val="16"/>
    <w:semiHidden/>
    <w:qFormat/>
    <w:uiPriority w:val="99"/>
    <w:rPr>
      <w:rFonts w:ascii="Times New Roman" w:hAnsi="Times New Roman" w:eastAsia="宋体" w:cs="Times New Roman"/>
      <w:b/>
      <w:bCs/>
      <w:szCs w:val="24"/>
    </w:rPr>
  </w:style>
  <w:style w:type="character" w:customStyle="1" w:styleId="41">
    <w:name w:val="正文 文字 Char Char"/>
    <w:link w:val="42"/>
    <w:qFormat/>
    <w:uiPriority w:val="0"/>
    <w:rPr>
      <w:rFonts w:ascii="Arial" w:hAnsi="Arial" w:eastAsia="仿宋_GB2312" w:cs="Times New Roman"/>
      <w:sz w:val="28"/>
      <w:szCs w:val="24"/>
    </w:rPr>
  </w:style>
  <w:style w:type="paragraph" w:customStyle="1" w:styleId="42">
    <w:name w:val="正文 文字"/>
    <w:basedOn w:val="1"/>
    <w:link w:val="41"/>
    <w:qFormat/>
    <w:uiPriority w:val="0"/>
    <w:pPr>
      <w:spacing w:line="500" w:lineRule="exact"/>
      <w:ind w:firstLine="200" w:firstLineChars="200"/>
      <w:jc w:val="left"/>
    </w:pPr>
    <w:rPr>
      <w:rFonts w:ascii="Arial" w:hAnsi="Arial" w:eastAsia="仿宋_GB2312"/>
      <w:sz w:val="28"/>
    </w:rPr>
  </w:style>
  <w:style w:type="character" w:customStyle="1" w:styleId="43">
    <w:name w:val="正文文本 字符"/>
    <w:basedOn w:val="19"/>
    <w:link w:val="8"/>
    <w:qFormat/>
    <w:uiPriority w:val="0"/>
    <w:rPr>
      <w:rFonts w:ascii="Calibri" w:hAnsi="Calibri" w:eastAsia="宋体" w:cs="Times New Roman"/>
    </w:rPr>
  </w:style>
  <w:style w:type="paragraph" w:customStyle="1" w:styleId="44">
    <w:name w:val="!正文(alt+c)"/>
    <w:qFormat/>
    <w:uiPriority w:val="0"/>
    <w:pPr>
      <w:spacing w:line="420" w:lineRule="exact"/>
      <w:ind w:firstLine="480" w:firstLineChars="200"/>
    </w:pPr>
    <w:rPr>
      <w:rFonts w:ascii="Times New Roman" w:hAnsi="Times New Roman" w:eastAsia="宋体" w:cs="Times New Roman"/>
      <w:sz w:val="24"/>
      <w:szCs w:val="24"/>
      <w:lang w:val="en-US" w:eastAsia="zh-CN" w:bidi="ar-SA"/>
    </w:rPr>
  </w:style>
  <w:style w:type="character" w:customStyle="1" w:styleId="45">
    <w:name w:val="正文文本缩进 字符"/>
    <w:basedOn w:val="19"/>
    <w:semiHidden/>
    <w:qFormat/>
    <w:uiPriority w:val="99"/>
    <w:rPr>
      <w:rFonts w:ascii="Times New Roman" w:hAnsi="Times New Roman" w:eastAsia="宋体" w:cs="Times New Roman"/>
      <w:szCs w:val="24"/>
    </w:rPr>
  </w:style>
  <w:style w:type="character" w:customStyle="1" w:styleId="46">
    <w:name w:val="正文文本缩进 字符1"/>
    <w:link w:val="9"/>
    <w:qFormat/>
    <w:uiPriority w:val="0"/>
    <w:rPr>
      <w:rFonts w:ascii="Times New Roman" w:hAnsi="Times New Roman" w:eastAsia="宋体" w:cs="Times New Roman"/>
      <w:szCs w:val="24"/>
    </w:rPr>
  </w:style>
  <w:style w:type="paragraph" w:customStyle="1" w:styleId="47">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48">
    <w:name w:val="未处理的提及1"/>
    <w:basedOn w:val="19"/>
    <w:semiHidden/>
    <w:unhideWhenUsed/>
    <w:qFormat/>
    <w:uiPriority w:val="99"/>
    <w:rPr>
      <w:color w:val="605E5C"/>
      <w:shd w:val="clear" w:color="auto" w:fill="E1DFDD"/>
    </w:rPr>
  </w:style>
  <w:style w:type="paragraph" w:customStyle="1" w:styleId="49">
    <w:name w:val="Revision"/>
    <w:hidden/>
    <w:semiHidden/>
    <w:qFormat/>
    <w:uiPriority w:val="99"/>
    <w:rPr>
      <w:rFonts w:ascii="Times New Roman" w:hAnsi="Times New Roman" w:eastAsia="宋体" w:cs="Times New Roman"/>
      <w:kern w:val="2"/>
      <w:sz w:val="21"/>
      <w:szCs w:val="24"/>
      <w:lang w:val="en-US" w:eastAsia="zh-CN" w:bidi="ar-SA"/>
    </w:rPr>
  </w:style>
  <w:style w:type="paragraph" w:customStyle="1" w:styleId="50">
    <w:name w:val="规划环评正文"/>
    <w:basedOn w:val="1"/>
    <w:qFormat/>
    <w:uiPriority w:val="0"/>
    <w:pPr>
      <w:spacing w:line="500" w:lineRule="exact"/>
      <w:ind w:firstLine="200" w:firstLineChars="200"/>
    </w:pPr>
    <w:rPr>
      <w:rFonts w:ascii="Times" w:hAnsi="Times" w:eastAsia="仿宋_GB2312" w:cstheme="minorBidi"/>
      <w:sz w:val="28"/>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493371-BE5B-4BA8-869D-039FB0C7290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21</Pages>
  <Words>8969</Words>
  <Characters>9751</Characters>
  <Lines>82</Lines>
  <Paragraphs>23</Paragraphs>
  <TotalTime>3</TotalTime>
  <ScaleCrop>false</ScaleCrop>
  <LinksUpToDate>false</LinksUpToDate>
  <CharactersWithSpaces>9821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2022-10-28T02:28:00Z</dcterms:created>
  <dc:creator>JHL</dc:creator>
  <cp:lastModifiedBy>Fy</cp:lastModifiedBy>
  <cp:lastPrinted>2021-04-15T08:48:00Z</cp:lastPrinted>
  <dcterms:modified xsi:type="dcterms:W3CDTF">2025-11-28T05:55:56Z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0D68C47FEBBD4B1997AFEAFB64AD5445</vt:lpwstr>
  </property>
  <property fmtid="{D5CDD505-2E9C-101B-9397-08002B2CF9AE}" pid="4" name="KSOTemplateDocerSaveRecord">
    <vt:lpwstr>eyJoZGlkIjoiYmNlN2E2NDUxZDU1ZThjNDJjZmI5Y2RhNDYwZjhlNjYiLCJ1c2VySWQiOiIzNjc1MzM2OTIifQ==</vt:lpwstr>
  </property>
</Properties>
</file>